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26D" w:rsidRDefault="00E2626D" w:rsidP="00E2626D">
      <w:pPr>
        <w:pStyle w:val="Title"/>
        <w:rPr>
          <w:u w:val="none"/>
        </w:rPr>
      </w:pPr>
      <w:r>
        <w:rPr>
          <w:u w:val="none"/>
        </w:rPr>
        <w:t>BEFORE THE</w:t>
      </w:r>
    </w:p>
    <w:p w:rsidR="00E2626D" w:rsidRDefault="00E2626D" w:rsidP="00E2626D">
      <w:pPr>
        <w:pStyle w:val="Title"/>
        <w:rPr>
          <w:u w:val="none"/>
        </w:rPr>
      </w:pPr>
      <w:r>
        <w:rPr>
          <w:u w:val="none"/>
        </w:rPr>
        <w:t>PUBLIC SERVICE COMMISSION</w:t>
      </w:r>
    </w:p>
    <w:p w:rsidR="00E2626D" w:rsidRDefault="00E2626D" w:rsidP="00E2626D">
      <w:pPr>
        <w:pStyle w:val="Title"/>
        <w:rPr>
          <w:u w:val="none"/>
        </w:rPr>
      </w:pPr>
      <w:r>
        <w:rPr>
          <w:u w:val="none"/>
        </w:rPr>
        <w:t>STATE OF GEORGIA</w:t>
      </w:r>
    </w:p>
    <w:p w:rsidR="00E2626D" w:rsidRDefault="00E2626D" w:rsidP="00E2626D">
      <w:pPr>
        <w:jc w:val="center"/>
        <w:rPr>
          <w:b/>
          <w:u w:val="single"/>
        </w:rPr>
      </w:pPr>
    </w:p>
    <w:p w:rsidR="00E2626D" w:rsidRPr="00A550BF" w:rsidRDefault="00E2626D" w:rsidP="00E2626D">
      <w:r w:rsidRPr="00A550BF">
        <w:tab/>
      </w:r>
      <w:r w:rsidRPr="00A550BF">
        <w:tab/>
      </w:r>
      <w:r w:rsidRPr="00A550BF">
        <w:tab/>
      </w:r>
      <w:r w:rsidRPr="00A550BF">
        <w:tab/>
      </w:r>
      <w:r w:rsidRPr="00A550BF">
        <w:tab/>
      </w:r>
      <w:r w:rsidRPr="00A550BF">
        <w:tab/>
      </w:r>
      <w:r w:rsidRPr="00A550BF">
        <w:tab/>
      </w:r>
      <w:r w:rsidRPr="00A550BF">
        <w:tab/>
      </w:r>
    </w:p>
    <w:p w:rsidR="00E2626D" w:rsidRPr="00A550BF" w:rsidRDefault="00E2626D" w:rsidP="00E2626D">
      <w:r w:rsidRPr="00A550BF">
        <w:tab/>
      </w:r>
      <w:r>
        <w:rPr>
          <w:i/>
        </w:rPr>
        <w:tab/>
      </w:r>
      <w:r>
        <w:rPr>
          <w:i/>
        </w:rPr>
        <w:tab/>
      </w:r>
      <w:r w:rsidRPr="00A550BF">
        <w:tab/>
      </w:r>
      <w:r w:rsidRPr="00A550BF">
        <w:tab/>
      </w:r>
      <w:r w:rsidRPr="00A550BF">
        <w:tab/>
      </w:r>
      <w:r w:rsidRPr="00A550BF">
        <w:tab/>
      </w:r>
      <w:r w:rsidRPr="00A550BF">
        <w:tab/>
        <w:t>)</w:t>
      </w:r>
    </w:p>
    <w:p w:rsidR="00E2626D" w:rsidRPr="00A550BF" w:rsidRDefault="00E2626D" w:rsidP="00E2626D">
      <w:r w:rsidRPr="00A550BF">
        <w:tab/>
      </w:r>
      <w:r w:rsidRPr="00A550BF">
        <w:rPr>
          <w:i/>
        </w:rPr>
        <w:t>In the Matter of</w:t>
      </w:r>
      <w:r>
        <w:rPr>
          <w:i/>
        </w:rPr>
        <w:tab/>
      </w:r>
      <w:r>
        <w:rPr>
          <w:i/>
        </w:rPr>
        <w:tab/>
      </w:r>
      <w:r>
        <w:rPr>
          <w:i/>
        </w:rPr>
        <w:tab/>
      </w:r>
      <w:r w:rsidRPr="00A550BF">
        <w:tab/>
      </w:r>
      <w:r w:rsidRPr="00A550BF">
        <w:tab/>
        <w:t>)</w:t>
      </w:r>
    </w:p>
    <w:p w:rsidR="00E2626D" w:rsidRPr="00A550BF" w:rsidRDefault="00E2626D" w:rsidP="00E2626D">
      <w:pPr>
        <w:rPr>
          <w:bCs/>
        </w:rPr>
      </w:pPr>
      <w:r w:rsidRPr="00A550BF">
        <w:tab/>
      </w:r>
      <w:r>
        <w:t>Institutional Telecommunications Services</w:t>
      </w:r>
      <w:r w:rsidRPr="00A550BF">
        <w:tab/>
      </w:r>
      <w:r w:rsidRPr="00A550BF">
        <w:tab/>
        <w:t xml:space="preserve">)   </w:t>
      </w:r>
      <w:r>
        <w:t>Docket No. 18870</w:t>
      </w:r>
    </w:p>
    <w:p w:rsidR="00E2626D" w:rsidRPr="00A550BF" w:rsidRDefault="00E2626D" w:rsidP="00E2626D">
      <w:pPr>
        <w:rPr>
          <w:bCs/>
        </w:rPr>
      </w:pPr>
      <w:r w:rsidRPr="00A550BF">
        <w:rPr>
          <w:bCs/>
        </w:rPr>
        <w:tab/>
      </w:r>
      <w:r w:rsidRPr="00A550BF">
        <w:rPr>
          <w:bCs/>
        </w:rPr>
        <w:tab/>
      </w:r>
      <w:r w:rsidRPr="00A550BF">
        <w:rPr>
          <w:bCs/>
        </w:rPr>
        <w:tab/>
      </w:r>
      <w:r w:rsidRPr="00A550BF">
        <w:rPr>
          <w:bCs/>
        </w:rPr>
        <w:tab/>
      </w:r>
      <w:r w:rsidRPr="00A550BF">
        <w:rPr>
          <w:bCs/>
        </w:rPr>
        <w:tab/>
      </w:r>
      <w:r w:rsidRPr="00A550BF">
        <w:rPr>
          <w:bCs/>
        </w:rPr>
        <w:tab/>
      </w:r>
      <w:r w:rsidRPr="00A550BF">
        <w:rPr>
          <w:bCs/>
        </w:rPr>
        <w:tab/>
      </w:r>
      <w:r w:rsidRPr="00A550BF">
        <w:rPr>
          <w:bCs/>
        </w:rPr>
        <w:tab/>
        <w:t>)</w:t>
      </w:r>
    </w:p>
    <w:p w:rsidR="00E2626D" w:rsidRPr="00A550BF" w:rsidRDefault="00E2626D" w:rsidP="00E2626D">
      <w:pPr>
        <w:rPr>
          <w:bCs/>
        </w:rPr>
      </w:pPr>
      <w:r>
        <w:rPr>
          <w:bCs/>
        </w:rPr>
        <w:tab/>
      </w:r>
      <w:r>
        <w:rPr>
          <w:bCs/>
        </w:rPr>
        <w:tab/>
      </w:r>
      <w:r>
        <w:rPr>
          <w:bCs/>
        </w:rPr>
        <w:tab/>
      </w:r>
      <w:r>
        <w:rPr>
          <w:bCs/>
        </w:rPr>
        <w:tab/>
      </w:r>
      <w:r>
        <w:rPr>
          <w:bCs/>
        </w:rPr>
        <w:tab/>
      </w:r>
      <w:r>
        <w:rPr>
          <w:bCs/>
        </w:rPr>
        <w:tab/>
      </w:r>
      <w:r w:rsidRPr="00A550BF">
        <w:rPr>
          <w:bCs/>
        </w:rPr>
        <w:tab/>
      </w:r>
      <w:r w:rsidRPr="00A550BF">
        <w:rPr>
          <w:bCs/>
        </w:rPr>
        <w:tab/>
        <w:t>)</w:t>
      </w:r>
    </w:p>
    <w:p w:rsidR="00E2626D" w:rsidRDefault="00E2626D" w:rsidP="00E2626D">
      <w:pPr>
        <w:rPr>
          <w:bCs/>
        </w:rPr>
      </w:pPr>
      <w:r w:rsidRPr="00A550BF">
        <w:rPr>
          <w:bCs/>
        </w:rPr>
        <w:tab/>
      </w:r>
    </w:p>
    <w:p w:rsidR="00E2626D" w:rsidRDefault="00E2626D" w:rsidP="00E2626D">
      <w:pPr>
        <w:rPr>
          <w:bCs/>
        </w:rPr>
      </w:pPr>
    </w:p>
    <w:p w:rsidR="00E2626D" w:rsidRPr="00AB4774" w:rsidRDefault="00E2626D" w:rsidP="00E2626D">
      <w:pPr>
        <w:jc w:val="center"/>
        <w:rPr>
          <w:b/>
          <w:bCs/>
          <w:caps/>
        </w:rPr>
      </w:pPr>
      <w:r w:rsidRPr="00AB4774">
        <w:rPr>
          <w:b/>
          <w:bCs/>
          <w:caps/>
        </w:rPr>
        <w:t>Inmate Calling Solutions, LLC</w:t>
      </w:r>
    </w:p>
    <w:p w:rsidR="00E2626D" w:rsidRDefault="00E2626D" w:rsidP="00E2626D">
      <w:pPr>
        <w:jc w:val="center"/>
        <w:rPr>
          <w:b/>
          <w:bCs/>
          <w:caps/>
        </w:rPr>
      </w:pPr>
      <w:r>
        <w:rPr>
          <w:b/>
          <w:bCs/>
          <w:caps/>
        </w:rPr>
        <w:t>BRIEF IN OPPOSITION TO CAPS ON COMMISSIONS</w:t>
      </w: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jc w:val="center"/>
        <w:rPr>
          <w:b/>
          <w:bCs/>
          <w:caps/>
        </w:rPr>
      </w:pPr>
    </w:p>
    <w:p w:rsidR="00E2626D" w:rsidRDefault="00E2626D" w:rsidP="00E2626D">
      <w:pPr>
        <w:ind w:left="5040"/>
        <w:rPr>
          <w:bCs/>
        </w:rPr>
      </w:pPr>
      <w:r>
        <w:rPr>
          <w:bCs/>
        </w:rPr>
        <w:t>Charlena S. Aumiller, Esq., CPA</w:t>
      </w:r>
    </w:p>
    <w:p w:rsidR="00E2626D" w:rsidRDefault="00E2626D" w:rsidP="00E2626D">
      <w:pPr>
        <w:ind w:left="5040"/>
        <w:rPr>
          <w:bCs/>
        </w:rPr>
      </w:pPr>
      <w:r>
        <w:rPr>
          <w:bCs/>
        </w:rPr>
        <w:t>TN State Bar No. 31465</w:t>
      </w:r>
    </w:p>
    <w:p w:rsidR="00E2626D" w:rsidRDefault="00E2626D" w:rsidP="00E2626D">
      <w:pPr>
        <w:ind w:left="5040"/>
        <w:rPr>
          <w:bCs/>
        </w:rPr>
      </w:pPr>
      <w:r>
        <w:rPr>
          <w:bCs/>
        </w:rPr>
        <w:t>2200 Danbury Street</w:t>
      </w:r>
    </w:p>
    <w:p w:rsidR="00E2626D" w:rsidRDefault="00E2626D" w:rsidP="00E2626D">
      <w:pPr>
        <w:ind w:left="5040"/>
        <w:rPr>
          <w:bCs/>
        </w:rPr>
      </w:pPr>
      <w:r>
        <w:rPr>
          <w:bCs/>
        </w:rPr>
        <w:t>San Antonio, TX 78217</w:t>
      </w:r>
    </w:p>
    <w:p w:rsidR="00E2626D" w:rsidRDefault="00E2626D" w:rsidP="00E2626D">
      <w:pPr>
        <w:ind w:left="5040"/>
        <w:rPr>
          <w:bCs/>
        </w:rPr>
      </w:pPr>
      <w:r>
        <w:rPr>
          <w:bCs/>
        </w:rPr>
        <w:t>210-572-9552</w:t>
      </w:r>
    </w:p>
    <w:p w:rsidR="00E2626D" w:rsidRDefault="00E2626D" w:rsidP="00E2626D">
      <w:pPr>
        <w:ind w:left="5040"/>
        <w:rPr>
          <w:bCs/>
        </w:rPr>
      </w:pPr>
      <w:r w:rsidRPr="00AB4774">
        <w:rPr>
          <w:bCs/>
        </w:rPr>
        <w:t>caumiller@icsolutions.com</w:t>
      </w:r>
    </w:p>
    <w:p w:rsidR="00E2626D" w:rsidRDefault="00E2626D" w:rsidP="00E2626D">
      <w:pPr>
        <w:ind w:left="5040"/>
        <w:rPr>
          <w:bCs/>
        </w:rPr>
      </w:pPr>
    </w:p>
    <w:p w:rsidR="00E2626D" w:rsidRPr="00AB4774" w:rsidRDefault="00E2626D" w:rsidP="00E2626D">
      <w:pPr>
        <w:ind w:left="5040"/>
        <w:rPr>
          <w:bCs/>
          <w:i/>
        </w:rPr>
      </w:pPr>
      <w:r>
        <w:rPr>
          <w:bCs/>
          <w:i/>
        </w:rPr>
        <w:t>Attorney for Inmate Calling Solutions, LLC</w:t>
      </w:r>
    </w:p>
    <w:p w:rsidR="00E2626D" w:rsidRDefault="00E2626D" w:rsidP="00E2626D">
      <w:pPr>
        <w:jc w:val="center"/>
        <w:rPr>
          <w:bCs/>
        </w:rPr>
      </w:pPr>
    </w:p>
    <w:p w:rsidR="00E2626D" w:rsidRDefault="00E2626D" w:rsidP="00E2626D">
      <w:pPr>
        <w:jc w:val="center"/>
        <w:rPr>
          <w:bCs/>
        </w:rPr>
      </w:pPr>
    </w:p>
    <w:p w:rsidR="00E2626D" w:rsidRPr="00A550BF" w:rsidRDefault="00E2626D" w:rsidP="00E2626D">
      <w:pPr>
        <w:spacing w:line="480" w:lineRule="auto"/>
        <w:rPr>
          <w:bCs/>
        </w:rPr>
      </w:pPr>
      <w:r>
        <w:rPr>
          <w:bCs/>
        </w:rPr>
        <w:t>January 19</w:t>
      </w:r>
      <w:r>
        <w:rPr>
          <w:bCs/>
        </w:rPr>
        <w:t xml:space="preserve">, </w:t>
      </w:r>
      <w:r>
        <w:rPr>
          <w:bCs/>
        </w:rPr>
        <w:t>2018</w:t>
      </w:r>
    </w:p>
    <w:p w:rsidR="00E2626D" w:rsidRDefault="00E2626D">
      <w:pPr>
        <w:sectPr w:rsidR="00E2626D">
          <w:pgSz w:w="12240" w:h="15840"/>
          <w:pgMar w:top="1440" w:right="1440" w:bottom="1440" w:left="1440" w:header="720" w:footer="720" w:gutter="0"/>
          <w:cols w:space="720"/>
          <w:docGrid w:linePitch="360"/>
        </w:sectPr>
      </w:pPr>
    </w:p>
    <w:p w:rsidR="00981311" w:rsidRPr="00AB4774" w:rsidRDefault="00981311" w:rsidP="00981311">
      <w:pPr>
        <w:spacing w:after="200" w:line="276" w:lineRule="auto"/>
        <w:jc w:val="center"/>
        <w:rPr>
          <w:b/>
          <w:bCs/>
          <w:smallCaps/>
          <w:u w:val="single"/>
        </w:rPr>
      </w:pPr>
      <w:r w:rsidRPr="00AB4774">
        <w:rPr>
          <w:b/>
          <w:bCs/>
          <w:smallCaps/>
          <w:u w:val="single"/>
        </w:rPr>
        <w:lastRenderedPageBreak/>
        <w:t>Summary</w:t>
      </w:r>
    </w:p>
    <w:p w:rsidR="00981311" w:rsidRDefault="00981311" w:rsidP="00981311">
      <w:pPr>
        <w:spacing w:line="480" w:lineRule="auto"/>
        <w:ind w:firstLine="720"/>
        <w:jc w:val="both"/>
        <w:rPr>
          <w:bCs/>
        </w:rPr>
      </w:pPr>
      <w:r>
        <w:rPr>
          <w:bCs/>
        </w:rPr>
        <w:t>Inmate Calling Solutions, LLC (“ICSolutions”), as a party to Docket No. 18870 and as a certi</w:t>
      </w:r>
      <w:r w:rsidR="00B04E5D">
        <w:rPr>
          <w:bCs/>
        </w:rPr>
        <w:t>fied provider of Institutional T</w:t>
      </w:r>
      <w:r>
        <w:rPr>
          <w:bCs/>
        </w:rPr>
        <w:t>elecommunications Services (“ITS”),</w:t>
      </w:r>
      <w:r>
        <w:rPr>
          <w:rStyle w:val="FootnoteReference"/>
          <w:bCs/>
        </w:rPr>
        <w:footnoteReference w:id="1"/>
      </w:r>
      <w:r>
        <w:rPr>
          <w:bCs/>
        </w:rPr>
        <w:t xml:space="preserve"> hereby submits its Brief on the issues presented in the Georgia Public Service Commission’s (</w:t>
      </w:r>
      <w:r w:rsidR="00B04E5D">
        <w:rPr>
          <w:bCs/>
        </w:rPr>
        <w:t>“</w:t>
      </w:r>
      <w:r>
        <w:rPr>
          <w:bCs/>
        </w:rPr>
        <w:t>PSC</w:t>
      </w:r>
      <w:r w:rsidR="00B04E5D">
        <w:rPr>
          <w:bCs/>
        </w:rPr>
        <w:t>”</w:t>
      </w:r>
      <w:r>
        <w:rPr>
          <w:bCs/>
        </w:rPr>
        <w:t xml:space="preserve">) </w:t>
      </w:r>
      <w:r>
        <w:rPr>
          <w:bCs/>
          <w:i/>
        </w:rPr>
        <w:t>Order Adopting Rates and a Procedural and Scheduling Order</w:t>
      </w:r>
      <w:r>
        <w:rPr>
          <w:bCs/>
        </w:rPr>
        <w:t>, issued in Docket No. 18870 on October 2, 2017 (Doc. No. 169682) (“PSO”), whereby the PSC has submitted issues as to whether the PSC should cap commissions.  ICSolutions’ position is that the PSC does not have the authority to cap commissions, and that it is otherwise impossible and impractical for the PSC to set and enforce a cap on commissions.</w:t>
      </w:r>
      <w:r w:rsidR="00DA1A24">
        <w:rPr>
          <w:bCs/>
        </w:rPr>
        <w:t xml:space="preserve">  Instead, ICSolutions recommends the PSC utilize its authority to implement low just and reasonable caps on calling rates and all service fees.</w:t>
      </w:r>
    </w:p>
    <w:p w:rsidR="00981311" w:rsidRDefault="00981311">
      <w:pPr>
        <w:spacing w:after="200" w:line="276" w:lineRule="auto"/>
        <w:rPr>
          <w:bCs/>
        </w:rPr>
      </w:pPr>
      <w:r>
        <w:rPr>
          <w:bCs/>
        </w:rPr>
        <w:br w:type="page"/>
      </w:r>
    </w:p>
    <w:p w:rsidR="00981311" w:rsidRPr="00AB4774" w:rsidRDefault="00981311" w:rsidP="00981311">
      <w:pPr>
        <w:spacing w:after="200" w:line="276" w:lineRule="auto"/>
        <w:jc w:val="center"/>
        <w:rPr>
          <w:b/>
          <w:bCs/>
          <w:smallCaps/>
          <w:u w:val="single"/>
        </w:rPr>
      </w:pPr>
      <w:r w:rsidRPr="00AB4774">
        <w:rPr>
          <w:b/>
          <w:bCs/>
          <w:smallCaps/>
          <w:u w:val="single"/>
        </w:rPr>
        <w:lastRenderedPageBreak/>
        <w:t>Table of Contents</w:t>
      </w:r>
    </w:p>
    <w:p w:rsidR="00702D5B" w:rsidRDefault="00702D5B">
      <w:pPr>
        <w:pStyle w:val="TOC1"/>
        <w:tabs>
          <w:tab w:val="right" w:leader="dot" w:pos="9350"/>
        </w:tabs>
        <w:rPr>
          <w:noProof/>
        </w:rPr>
      </w:pPr>
      <w:r>
        <w:fldChar w:fldCharType="begin"/>
      </w:r>
      <w:r>
        <w:instrText xml:space="preserve"> TOC \o "1-3" \u </w:instrText>
      </w:r>
      <w:r>
        <w:fldChar w:fldCharType="separate"/>
      </w:r>
      <w:r>
        <w:rPr>
          <w:noProof/>
        </w:rPr>
        <w:t>Brief in Opposition to Caps on Commissions</w:t>
      </w:r>
      <w:r>
        <w:rPr>
          <w:noProof/>
        </w:rPr>
        <w:tab/>
      </w:r>
      <w:r>
        <w:rPr>
          <w:noProof/>
        </w:rPr>
        <w:fldChar w:fldCharType="begin"/>
      </w:r>
      <w:r>
        <w:rPr>
          <w:noProof/>
        </w:rPr>
        <w:instrText xml:space="preserve"> PAGEREF _Toc504050844 \h </w:instrText>
      </w:r>
      <w:r>
        <w:rPr>
          <w:noProof/>
        </w:rPr>
      </w:r>
      <w:r>
        <w:rPr>
          <w:noProof/>
        </w:rPr>
        <w:fldChar w:fldCharType="separate"/>
      </w:r>
      <w:r>
        <w:rPr>
          <w:noProof/>
        </w:rPr>
        <w:t>1</w:t>
      </w:r>
      <w:r>
        <w:rPr>
          <w:noProof/>
        </w:rPr>
        <w:fldChar w:fldCharType="end"/>
      </w:r>
    </w:p>
    <w:p w:rsidR="00702D5B" w:rsidRDefault="00702D5B">
      <w:pPr>
        <w:pStyle w:val="TOC1"/>
        <w:tabs>
          <w:tab w:val="right" w:leader="dot" w:pos="9350"/>
        </w:tabs>
        <w:rPr>
          <w:noProof/>
        </w:rPr>
      </w:pPr>
      <w:r>
        <w:rPr>
          <w:noProof/>
        </w:rPr>
        <w:t>Summary of the Case &amp; Relevant Background</w:t>
      </w:r>
      <w:r>
        <w:rPr>
          <w:noProof/>
        </w:rPr>
        <w:tab/>
      </w:r>
      <w:r>
        <w:rPr>
          <w:noProof/>
        </w:rPr>
        <w:fldChar w:fldCharType="begin"/>
      </w:r>
      <w:r>
        <w:rPr>
          <w:noProof/>
        </w:rPr>
        <w:instrText xml:space="preserve"> PAGEREF _Toc504050845 \h </w:instrText>
      </w:r>
      <w:r>
        <w:rPr>
          <w:noProof/>
        </w:rPr>
      </w:r>
      <w:r>
        <w:rPr>
          <w:noProof/>
        </w:rPr>
        <w:fldChar w:fldCharType="separate"/>
      </w:r>
      <w:r>
        <w:rPr>
          <w:noProof/>
        </w:rPr>
        <w:t>2</w:t>
      </w:r>
      <w:r>
        <w:rPr>
          <w:noProof/>
        </w:rPr>
        <w:fldChar w:fldCharType="end"/>
      </w:r>
    </w:p>
    <w:p w:rsidR="00702D5B" w:rsidRDefault="00702D5B">
      <w:pPr>
        <w:pStyle w:val="TOC2"/>
        <w:tabs>
          <w:tab w:val="left" w:pos="660"/>
          <w:tab w:val="right" w:leader="dot" w:pos="9350"/>
        </w:tabs>
        <w:rPr>
          <w:noProof/>
        </w:rPr>
      </w:pPr>
      <w:r w:rsidRPr="00881C7C">
        <w:rPr>
          <w:noProof/>
        </w:rPr>
        <w:t>I.</w:t>
      </w:r>
      <w:r>
        <w:rPr>
          <w:noProof/>
        </w:rPr>
        <w:tab/>
        <w:t>Federal Communications Commission (FCC) Docket No. 12-375, Implementation of the Pay Telephone Reclassification and Compensation Provisions of the Telecommunications Act of 1996 et al.</w:t>
      </w:r>
      <w:r>
        <w:rPr>
          <w:noProof/>
        </w:rPr>
        <w:tab/>
      </w:r>
      <w:r>
        <w:rPr>
          <w:noProof/>
        </w:rPr>
        <w:fldChar w:fldCharType="begin"/>
      </w:r>
      <w:r>
        <w:rPr>
          <w:noProof/>
        </w:rPr>
        <w:instrText xml:space="preserve"> PAGEREF _Toc504050846 \h </w:instrText>
      </w:r>
      <w:r>
        <w:rPr>
          <w:noProof/>
        </w:rPr>
      </w:r>
      <w:r>
        <w:rPr>
          <w:noProof/>
        </w:rPr>
        <w:fldChar w:fldCharType="separate"/>
      </w:r>
      <w:r>
        <w:rPr>
          <w:noProof/>
        </w:rPr>
        <w:t>2</w:t>
      </w:r>
      <w:r>
        <w:rPr>
          <w:noProof/>
        </w:rPr>
        <w:fldChar w:fldCharType="end"/>
      </w:r>
    </w:p>
    <w:p w:rsidR="00702D5B" w:rsidRDefault="00702D5B">
      <w:pPr>
        <w:pStyle w:val="TOC2"/>
        <w:tabs>
          <w:tab w:val="left" w:pos="660"/>
          <w:tab w:val="right" w:leader="dot" w:pos="9350"/>
        </w:tabs>
        <w:rPr>
          <w:noProof/>
        </w:rPr>
      </w:pPr>
      <w:r w:rsidRPr="00881C7C">
        <w:rPr>
          <w:noProof/>
        </w:rPr>
        <w:t>II.</w:t>
      </w:r>
      <w:r>
        <w:rPr>
          <w:noProof/>
        </w:rPr>
        <w:tab/>
        <w:t>Docket No. 18870: GPSC Generic Proceeding to Investigate ALL Local and Long Distance Telephone Charges from Institutional/Correctional Facilities.</w:t>
      </w:r>
      <w:r>
        <w:rPr>
          <w:noProof/>
        </w:rPr>
        <w:tab/>
      </w:r>
      <w:r>
        <w:rPr>
          <w:noProof/>
        </w:rPr>
        <w:fldChar w:fldCharType="begin"/>
      </w:r>
      <w:r>
        <w:rPr>
          <w:noProof/>
        </w:rPr>
        <w:instrText xml:space="preserve"> PAGEREF _Toc504050847 \h </w:instrText>
      </w:r>
      <w:r>
        <w:rPr>
          <w:noProof/>
        </w:rPr>
      </w:r>
      <w:r>
        <w:rPr>
          <w:noProof/>
        </w:rPr>
        <w:fldChar w:fldCharType="separate"/>
      </w:r>
      <w:r>
        <w:rPr>
          <w:noProof/>
        </w:rPr>
        <w:t>4</w:t>
      </w:r>
      <w:r>
        <w:rPr>
          <w:noProof/>
        </w:rPr>
        <w:fldChar w:fldCharType="end"/>
      </w:r>
    </w:p>
    <w:p w:rsidR="00702D5B" w:rsidRDefault="00702D5B">
      <w:pPr>
        <w:pStyle w:val="TOC1"/>
        <w:tabs>
          <w:tab w:val="right" w:leader="dot" w:pos="9350"/>
        </w:tabs>
        <w:rPr>
          <w:noProof/>
        </w:rPr>
      </w:pPr>
      <w:r>
        <w:rPr>
          <w:noProof/>
        </w:rPr>
        <w:t>Argument</w:t>
      </w:r>
      <w:r>
        <w:rPr>
          <w:noProof/>
        </w:rPr>
        <w:tab/>
      </w:r>
      <w:r>
        <w:rPr>
          <w:noProof/>
        </w:rPr>
        <w:fldChar w:fldCharType="begin"/>
      </w:r>
      <w:r>
        <w:rPr>
          <w:noProof/>
        </w:rPr>
        <w:instrText xml:space="preserve"> PAGEREF _Toc504050848 \h </w:instrText>
      </w:r>
      <w:r>
        <w:rPr>
          <w:noProof/>
        </w:rPr>
      </w:r>
      <w:r>
        <w:rPr>
          <w:noProof/>
        </w:rPr>
        <w:fldChar w:fldCharType="separate"/>
      </w:r>
      <w:r>
        <w:rPr>
          <w:noProof/>
        </w:rPr>
        <w:t>5</w:t>
      </w:r>
      <w:r>
        <w:rPr>
          <w:noProof/>
        </w:rPr>
        <w:fldChar w:fldCharType="end"/>
      </w:r>
    </w:p>
    <w:p w:rsidR="00702D5B" w:rsidRDefault="00702D5B">
      <w:pPr>
        <w:pStyle w:val="TOC2"/>
        <w:tabs>
          <w:tab w:val="left" w:pos="660"/>
          <w:tab w:val="right" w:leader="dot" w:pos="9350"/>
        </w:tabs>
        <w:rPr>
          <w:noProof/>
        </w:rPr>
      </w:pPr>
      <w:r w:rsidRPr="00881C7C">
        <w:rPr>
          <w:noProof/>
        </w:rPr>
        <w:t>I.</w:t>
      </w:r>
      <w:r>
        <w:rPr>
          <w:noProof/>
        </w:rPr>
        <w:tab/>
        <w:t>The PSC should avoid capping commissions because it exceeds the PSC’s legal authority.</w:t>
      </w:r>
      <w:r>
        <w:rPr>
          <w:noProof/>
        </w:rPr>
        <w:tab/>
      </w:r>
      <w:r>
        <w:rPr>
          <w:noProof/>
        </w:rPr>
        <w:fldChar w:fldCharType="begin"/>
      </w:r>
      <w:r>
        <w:rPr>
          <w:noProof/>
        </w:rPr>
        <w:instrText xml:space="preserve"> PAGEREF _Toc504050849 \h </w:instrText>
      </w:r>
      <w:r>
        <w:rPr>
          <w:noProof/>
        </w:rPr>
      </w:r>
      <w:r>
        <w:rPr>
          <w:noProof/>
        </w:rPr>
        <w:fldChar w:fldCharType="separate"/>
      </w:r>
      <w:r>
        <w:rPr>
          <w:noProof/>
        </w:rPr>
        <w:t>6</w:t>
      </w:r>
      <w:r>
        <w:rPr>
          <w:noProof/>
        </w:rPr>
        <w:fldChar w:fldCharType="end"/>
      </w:r>
    </w:p>
    <w:p w:rsidR="00702D5B" w:rsidRDefault="00702D5B">
      <w:pPr>
        <w:pStyle w:val="TOC2"/>
        <w:tabs>
          <w:tab w:val="left" w:pos="660"/>
          <w:tab w:val="right" w:leader="dot" w:pos="9350"/>
        </w:tabs>
        <w:rPr>
          <w:noProof/>
        </w:rPr>
      </w:pPr>
      <w:r w:rsidRPr="00881C7C">
        <w:rPr>
          <w:noProof/>
        </w:rPr>
        <w:t>II.</w:t>
      </w:r>
      <w:r>
        <w:rPr>
          <w:noProof/>
        </w:rPr>
        <w:tab/>
        <w:t>Setting automatic rate cap adjustments in an attempt to regulate commissions would require clearly defined standards and, even then, such regulation is likely to result in a waste of resources.</w:t>
      </w:r>
      <w:r>
        <w:rPr>
          <w:noProof/>
        </w:rPr>
        <w:tab/>
      </w:r>
      <w:r>
        <w:rPr>
          <w:noProof/>
        </w:rPr>
        <w:fldChar w:fldCharType="begin"/>
      </w:r>
      <w:r>
        <w:rPr>
          <w:noProof/>
        </w:rPr>
        <w:instrText xml:space="preserve"> PAGEREF _Toc504050850 \h </w:instrText>
      </w:r>
      <w:r>
        <w:rPr>
          <w:noProof/>
        </w:rPr>
      </w:r>
      <w:r>
        <w:rPr>
          <w:noProof/>
        </w:rPr>
        <w:fldChar w:fldCharType="separate"/>
      </w:r>
      <w:r>
        <w:rPr>
          <w:noProof/>
        </w:rPr>
        <w:t>8</w:t>
      </w:r>
      <w:r>
        <w:rPr>
          <w:noProof/>
        </w:rPr>
        <w:fldChar w:fldCharType="end"/>
      </w:r>
    </w:p>
    <w:p w:rsidR="00702D5B" w:rsidRDefault="00702D5B">
      <w:pPr>
        <w:pStyle w:val="TOC3"/>
        <w:tabs>
          <w:tab w:val="left" w:pos="880"/>
          <w:tab w:val="right" w:leader="dot" w:pos="9350"/>
        </w:tabs>
        <w:rPr>
          <w:noProof/>
        </w:rPr>
      </w:pPr>
      <w:r>
        <w:rPr>
          <w:noProof/>
        </w:rPr>
        <w:t>A.</w:t>
      </w:r>
      <w:r>
        <w:rPr>
          <w:noProof/>
        </w:rPr>
        <w:tab/>
        <w:t>For the automatic rate cap adjustment to have a chance at success, the PSC must clearly define commissions and regulate all consumer charges related to ITS.</w:t>
      </w:r>
      <w:r>
        <w:rPr>
          <w:noProof/>
        </w:rPr>
        <w:tab/>
      </w:r>
      <w:r>
        <w:rPr>
          <w:noProof/>
        </w:rPr>
        <w:fldChar w:fldCharType="begin"/>
      </w:r>
      <w:r>
        <w:rPr>
          <w:noProof/>
        </w:rPr>
        <w:instrText xml:space="preserve"> PAGEREF _Toc504050851 \h </w:instrText>
      </w:r>
      <w:r>
        <w:rPr>
          <w:noProof/>
        </w:rPr>
      </w:r>
      <w:r>
        <w:rPr>
          <w:noProof/>
        </w:rPr>
        <w:fldChar w:fldCharType="separate"/>
      </w:r>
      <w:r>
        <w:rPr>
          <w:noProof/>
        </w:rPr>
        <w:t>9</w:t>
      </w:r>
      <w:r>
        <w:rPr>
          <w:noProof/>
        </w:rPr>
        <w:fldChar w:fldCharType="end"/>
      </w:r>
    </w:p>
    <w:p w:rsidR="00702D5B" w:rsidRDefault="00702D5B">
      <w:pPr>
        <w:pStyle w:val="TOC3"/>
        <w:tabs>
          <w:tab w:val="left" w:pos="880"/>
          <w:tab w:val="right" w:leader="dot" w:pos="9350"/>
        </w:tabs>
        <w:rPr>
          <w:noProof/>
        </w:rPr>
      </w:pPr>
      <w:r>
        <w:rPr>
          <w:noProof/>
        </w:rPr>
        <w:t>B.</w:t>
      </w:r>
      <w:r>
        <w:rPr>
          <w:noProof/>
        </w:rPr>
        <w:tab/>
        <w:t>The automatic rate cap adjustment must comply with traditional ratemaking principles, such as the requirement for just and reasonable rates and the prohibition against retroactive ratemaking.</w:t>
      </w:r>
      <w:r>
        <w:rPr>
          <w:noProof/>
        </w:rPr>
        <w:tab/>
      </w:r>
      <w:r>
        <w:rPr>
          <w:noProof/>
        </w:rPr>
        <w:fldChar w:fldCharType="begin"/>
      </w:r>
      <w:r>
        <w:rPr>
          <w:noProof/>
        </w:rPr>
        <w:instrText xml:space="preserve"> PAGEREF _Toc504050852 \h </w:instrText>
      </w:r>
      <w:r>
        <w:rPr>
          <w:noProof/>
        </w:rPr>
      </w:r>
      <w:r>
        <w:rPr>
          <w:noProof/>
        </w:rPr>
        <w:fldChar w:fldCharType="separate"/>
      </w:r>
      <w:r>
        <w:rPr>
          <w:noProof/>
        </w:rPr>
        <w:t>17</w:t>
      </w:r>
      <w:r>
        <w:rPr>
          <w:noProof/>
        </w:rPr>
        <w:fldChar w:fldCharType="end"/>
      </w:r>
    </w:p>
    <w:p w:rsidR="00702D5B" w:rsidRDefault="00702D5B">
      <w:pPr>
        <w:pStyle w:val="TOC3"/>
        <w:tabs>
          <w:tab w:val="left" w:pos="880"/>
          <w:tab w:val="right" w:leader="dot" w:pos="9350"/>
        </w:tabs>
        <w:rPr>
          <w:noProof/>
        </w:rPr>
      </w:pPr>
      <w:r>
        <w:rPr>
          <w:noProof/>
        </w:rPr>
        <w:t>C.</w:t>
      </w:r>
      <w:r>
        <w:rPr>
          <w:noProof/>
        </w:rPr>
        <w:tab/>
        <w:t>As a practical matter, additional factors should be considered to enable efficient and effective enforcement, such as the overall rate caps and valuation of non-monetary commissions.</w:t>
      </w:r>
      <w:r>
        <w:rPr>
          <w:noProof/>
        </w:rPr>
        <w:tab/>
      </w:r>
      <w:r>
        <w:rPr>
          <w:noProof/>
        </w:rPr>
        <w:fldChar w:fldCharType="begin"/>
      </w:r>
      <w:r>
        <w:rPr>
          <w:noProof/>
        </w:rPr>
        <w:instrText xml:space="preserve"> PAGEREF _Toc504050853 \h </w:instrText>
      </w:r>
      <w:r>
        <w:rPr>
          <w:noProof/>
        </w:rPr>
      </w:r>
      <w:r>
        <w:rPr>
          <w:noProof/>
        </w:rPr>
        <w:fldChar w:fldCharType="separate"/>
      </w:r>
      <w:r>
        <w:rPr>
          <w:noProof/>
        </w:rPr>
        <w:t>18</w:t>
      </w:r>
      <w:r>
        <w:rPr>
          <w:noProof/>
        </w:rPr>
        <w:fldChar w:fldCharType="end"/>
      </w:r>
    </w:p>
    <w:p w:rsidR="00702D5B" w:rsidRDefault="00702D5B">
      <w:pPr>
        <w:pStyle w:val="TOC3"/>
        <w:tabs>
          <w:tab w:val="left" w:pos="880"/>
          <w:tab w:val="right" w:leader="dot" w:pos="9350"/>
        </w:tabs>
        <w:rPr>
          <w:noProof/>
        </w:rPr>
      </w:pPr>
      <w:r>
        <w:rPr>
          <w:noProof/>
        </w:rPr>
        <w:t>D.</w:t>
      </w:r>
      <w:r>
        <w:rPr>
          <w:noProof/>
        </w:rPr>
        <w:tab/>
        <w:t>There will be ways to circumvent the automatic rate cap adjustment that the PSC is unable to control.</w:t>
      </w:r>
      <w:r>
        <w:rPr>
          <w:noProof/>
        </w:rPr>
        <w:tab/>
      </w:r>
      <w:r>
        <w:rPr>
          <w:noProof/>
        </w:rPr>
        <w:fldChar w:fldCharType="begin"/>
      </w:r>
      <w:r>
        <w:rPr>
          <w:noProof/>
        </w:rPr>
        <w:instrText xml:space="preserve"> PAGEREF _Toc504050854 \h </w:instrText>
      </w:r>
      <w:r>
        <w:rPr>
          <w:noProof/>
        </w:rPr>
      </w:r>
      <w:r>
        <w:rPr>
          <w:noProof/>
        </w:rPr>
        <w:fldChar w:fldCharType="separate"/>
      </w:r>
      <w:r>
        <w:rPr>
          <w:noProof/>
        </w:rPr>
        <w:t>21</w:t>
      </w:r>
      <w:r>
        <w:rPr>
          <w:noProof/>
        </w:rPr>
        <w:fldChar w:fldCharType="end"/>
      </w:r>
    </w:p>
    <w:p w:rsidR="00702D5B" w:rsidRDefault="00702D5B">
      <w:pPr>
        <w:pStyle w:val="TOC2"/>
        <w:tabs>
          <w:tab w:val="left" w:pos="880"/>
          <w:tab w:val="right" w:leader="dot" w:pos="9350"/>
        </w:tabs>
        <w:rPr>
          <w:noProof/>
        </w:rPr>
      </w:pPr>
      <w:r w:rsidRPr="00881C7C">
        <w:rPr>
          <w:noProof/>
        </w:rPr>
        <w:t>III.</w:t>
      </w:r>
      <w:r>
        <w:rPr>
          <w:noProof/>
        </w:rPr>
        <w:tab/>
        <w:t>Any rulings made by the PSC that affect commissions, rates, or fees should be applied to all contracts, facilities and ITS providers at the same time to ensure fairness and best facilitate competition.</w:t>
      </w:r>
      <w:r>
        <w:rPr>
          <w:noProof/>
        </w:rPr>
        <w:tab/>
      </w:r>
      <w:r>
        <w:rPr>
          <w:noProof/>
        </w:rPr>
        <w:fldChar w:fldCharType="begin"/>
      </w:r>
      <w:r>
        <w:rPr>
          <w:noProof/>
        </w:rPr>
        <w:instrText xml:space="preserve"> PAGEREF _Toc504050855 \h </w:instrText>
      </w:r>
      <w:r>
        <w:rPr>
          <w:noProof/>
        </w:rPr>
      </w:r>
      <w:r>
        <w:rPr>
          <w:noProof/>
        </w:rPr>
        <w:fldChar w:fldCharType="separate"/>
      </w:r>
      <w:r>
        <w:rPr>
          <w:noProof/>
        </w:rPr>
        <w:t>22</w:t>
      </w:r>
      <w:r>
        <w:rPr>
          <w:noProof/>
        </w:rPr>
        <w:fldChar w:fldCharType="end"/>
      </w:r>
    </w:p>
    <w:p w:rsidR="00702D5B" w:rsidRDefault="00702D5B">
      <w:pPr>
        <w:pStyle w:val="TOC2"/>
        <w:tabs>
          <w:tab w:val="left" w:pos="880"/>
          <w:tab w:val="right" w:leader="dot" w:pos="9350"/>
        </w:tabs>
        <w:rPr>
          <w:noProof/>
        </w:rPr>
      </w:pPr>
      <w:r w:rsidRPr="00881C7C">
        <w:rPr>
          <w:noProof/>
        </w:rPr>
        <w:t>IV.</w:t>
      </w:r>
      <w:r>
        <w:rPr>
          <w:noProof/>
        </w:rPr>
        <w:tab/>
        <w:t>As an effective and efficient alternative to embarking on the impossible task of regulating commissions, the PSC should impose just and reasonable caps on all rates and fees to ensure low costs to consumers.</w:t>
      </w:r>
      <w:r>
        <w:rPr>
          <w:noProof/>
        </w:rPr>
        <w:tab/>
      </w:r>
      <w:r>
        <w:rPr>
          <w:noProof/>
        </w:rPr>
        <w:fldChar w:fldCharType="begin"/>
      </w:r>
      <w:r>
        <w:rPr>
          <w:noProof/>
        </w:rPr>
        <w:instrText xml:space="preserve"> PAGEREF _Toc504050856 \h </w:instrText>
      </w:r>
      <w:r>
        <w:rPr>
          <w:noProof/>
        </w:rPr>
      </w:r>
      <w:r>
        <w:rPr>
          <w:noProof/>
        </w:rPr>
        <w:fldChar w:fldCharType="separate"/>
      </w:r>
      <w:r>
        <w:rPr>
          <w:noProof/>
        </w:rPr>
        <w:t>23</w:t>
      </w:r>
      <w:r>
        <w:rPr>
          <w:noProof/>
        </w:rPr>
        <w:fldChar w:fldCharType="end"/>
      </w:r>
    </w:p>
    <w:p w:rsidR="00702D5B" w:rsidRDefault="00702D5B">
      <w:pPr>
        <w:pStyle w:val="TOC1"/>
        <w:tabs>
          <w:tab w:val="right" w:leader="dot" w:pos="9350"/>
        </w:tabs>
        <w:rPr>
          <w:noProof/>
        </w:rPr>
      </w:pPr>
      <w:r>
        <w:rPr>
          <w:noProof/>
        </w:rPr>
        <w:t>Conclusion</w:t>
      </w:r>
      <w:r>
        <w:rPr>
          <w:noProof/>
        </w:rPr>
        <w:tab/>
      </w:r>
      <w:r>
        <w:rPr>
          <w:noProof/>
        </w:rPr>
        <w:fldChar w:fldCharType="begin"/>
      </w:r>
      <w:r>
        <w:rPr>
          <w:noProof/>
        </w:rPr>
        <w:instrText xml:space="preserve"> PAGEREF _Toc504050857 \h </w:instrText>
      </w:r>
      <w:r>
        <w:rPr>
          <w:noProof/>
        </w:rPr>
      </w:r>
      <w:r>
        <w:rPr>
          <w:noProof/>
        </w:rPr>
        <w:fldChar w:fldCharType="separate"/>
      </w:r>
      <w:r>
        <w:rPr>
          <w:noProof/>
        </w:rPr>
        <w:t>24</w:t>
      </w:r>
      <w:r>
        <w:rPr>
          <w:noProof/>
        </w:rPr>
        <w:fldChar w:fldCharType="end"/>
      </w:r>
    </w:p>
    <w:p w:rsidR="00981311" w:rsidRPr="00657D37" w:rsidRDefault="00702D5B" w:rsidP="00981311">
      <w:pPr>
        <w:spacing w:line="480" w:lineRule="auto"/>
        <w:ind w:firstLine="720"/>
        <w:jc w:val="both"/>
      </w:pPr>
      <w:r>
        <w:fldChar w:fldCharType="end"/>
      </w:r>
    </w:p>
    <w:p w:rsidR="00E2626D" w:rsidRDefault="00E2626D">
      <w:pPr>
        <w:sectPr w:rsidR="00E2626D" w:rsidSect="00E2626D">
          <w:footerReference w:type="default" r:id="rId9"/>
          <w:pgSz w:w="12240" w:h="15840"/>
          <w:pgMar w:top="1440" w:right="1440" w:bottom="1440" w:left="1440" w:header="720" w:footer="720" w:gutter="0"/>
          <w:pgNumType w:fmt="lowerRoman" w:start="1"/>
          <w:cols w:space="720"/>
          <w:docGrid w:linePitch="360"/>
        </w:sectPr>
      </w:pPr>
    </w:p>
    <w:p w:rsidR="00FC23FB" w:rsidRPr="00E60171" w:rsidRDefault="0018743F" w:rsidP="00E60171">
      <w:pPr>
        <w:pStyle w:val="Heading1"/>
      </w:pPr>
      <w:bookmarkStart w:id="0" w:name="_Toc504050844"/>
      <w:r w:rsidRPr="00E60171">
        <w:lastRenderedPageBreak/>
        <w:t>Brief in Opposition to Caps on Commissions</w:t>
      </w:r>
      <w:bookmarkEnd w:id="0"/>
    </w:p>
    <w:p w:rsidR="00FC23FB" w:rsidRDefault="00FC23FB" w:rsidP="001E1B7B">
      <w:pPr>
        <w:spacing w:line="480" w:lineRule="auto"/>
        <w:ind w:firstLine="720"/>
        <w:jc w:val="both"/>
      </w:pPr>
      <w:r w:rsidRPr="009919A2">
        <w:t xml:space="preserve">The </w:t>
      </w:r>
      <w:r>
        <w:t xml:space="preserve">Georgia </w:t>
      </w:r>
      <w:r w:rsidRPr="009919A2">
        <w:t>P</w:t>
      </w:r>
      <w:r>
        <w:t xml:space="preserve">ublic </w:t>
      </w:r>
      <w:r w:rsidRPr="009919A2">
        <w:t>S</w:t>
      </w:r>
      <w:r>
        <w:t xml:space="preserve">ervices </w:t>
      </w:r>
      <w:r w:rsidRPr="009919A2">
        <w:t>C</w:t>
      </w:r>
      <w:r>
        <w:t>ommission (“PSC” or “Commission”)</w:t>
      </w:r>
      <w:r w:rsidRPr="009919A2">
        <w:t xml:space="preserve"> </w:t>
      </w:r>
      <w:r>
        <w:t>has been regulating the rates charged by institutional telecommunications services (“ITS”) in Docket No. 18870 since 2004.  The PSC has recently changed the rate caps and instituted caps on some ITS fees.  The PSC is considering whether additional rate reform is needed and has asked interested parties to address the following issues:</w:t>
      </w:r>
    </w:p>
    <w:p w:rsidR="00FC23FB" w:rsidRDefault="00FC23FB" w:rsidP="001E1B7B">
      <w:pPr>
        <w:pStyle w:val="ListParagraph"/>
        <w:numPr>
          <w:ilvl w:val="0"/>
          <w:numId w:val="8"/>
        </w:numPr>
        <w:contextualSpacing w:val="0"/>
        <w:jc w:val="both"/>
      </w:pPr>
      <w:r>
        <w:t>Should the Commission adopt caps on site commissions as part of the rates for institutional telecommunications services?</w:t>
      </w:r>
    </w:p>
    <w:p w:rsidR="00FC23FB" w:rsidRDefault="00FC23FB" w:rsidP="00FC23FB">
      <w:pPr>
        <w:pStyle w:val="ListParagraph"/>
        <w:ind w:left="1080"/>
        <w:contextualSpacing w:val="0"/>
      </w:pPr>
    </w:p>
    <w:p w:rsidR="00FC23FB" w:rsidRDefault="00FC23FB" w:rsidP="001E1B7B">
      <w:pPr>
        <w:pStyle w:val="ListParagraph"/>
        <w:numPr>
          <w:ilvl w:val="0"/>
          <w:numId w:val="8"/>
        </w:numPr>
        <w:spacing w:after="240"/>
        <w:contextualSpacing w:val="0"/>
        <w:jc w:val="both"/>
      </w:pPr>
      <w:r>
        <w:t>If the Commission adopts site commissions as part of the rates on institutional telecommunications services, should the caps be applied to existing contracts/  The determination of this issue may involve consideration of (a) whether and how the current term of an existing contract should be treated differently than a renewal term of a contract for purposes of applying caps on site commissions, and (b) whether and how facilities of different size or type should be treated differently for purposes of applying caps on site commissions.  Part (b) may include what eth amount of any site commission cap should be for each size or type of facility, whether there is any basis for differentiating between the sizes and types of facilities for purposes of applying any site commission cap to an existing contract and any other basis for applying a site commission cap differently based on the size or type of facility.</w:t>
      </w:r>
    </w:p>
    <w:p w:rsidR="00B04E5D" w:rsidRDefault="00B04E5D" w:rsidP="001E1B7B">
      <w:pPr>
        <w:spacing w:line="480" w:lineRule="auto"/>
        <w:jc w:val="both"/>
      </w:pPr>
      <w:r>
        <w:t xml:space="preserve">Georgie Public Service Comm’n, In re: Institutional Telecommunication Services, </w:t>
      </w:r>
      <w:r>
        <w:rPr>
          <w:bCs/>
          <w:i/>
        </w:rPr>
        <w:t>Order Adopting Rates and a Procedural and Scheduling Order</w:t>
      </w:r>
      <w:r>
        <w:rPr>
          <w:bCs/>
        </w:rPr>
        <w:t xml:space="preserve">, Docket No. 18870, Document No. 169682, at </w:t>
      </w:r>
      <w:r>
        <w:rPr>
          <w:bCs/>
        </w:rPr>
        <w:t>7-8</w:t>
      </w:r>
      <w:r>
        <w:rPr>
          <w:bCs/>
        </w:rPr>
        <w:t xml:space="preserve"> (Oct. 2, 2017) (“PSO”).</w:t>
      </w:r>
    </w:p>
    <w:p w:rsidR="00FC23FB" w:rsidRDefault="00B04E5D" w:rsidP="001E1B7B">
      <w:pPr>
        <w:spacing w:line="480" w:lineRule="auto"/>
        <w:ind w:firstLine="720"/>
        <w:jc w:val="both"/>
        <w:rPr>
          <w:b/>
          <w:smallCaps/>
          <w:u w:val="single"/>
        </w:rPr>
      </w:pPr>
      <w:r>
        <w:t>ICSolutions submits that the answer to the first issue is no, since the PSC does not have the legal authority to cap commissions.  Instead,  since t</w:t>
      </w:r>
      <w:r w:rsidRPr="009919A2">
        <w:t xml:space="preserve">he PSC can lawfully regulate all charges made in conjunction with ITS services, </w:t>
      </w:r>
      <w:r>
        <w:t xml:space="preserve">ICSolutions submits that </w:t>
      </w:r>
      <w:r w:rsidRPr="009919A2">
        <w:t>only by</w:t>
      </w:r>
      <w:r>
        <w:t xml:space="preserve"> the PSC</w:t>
      </w:r>
      <w:r w:rsidRPr="009919A2">
        <w:t xml:space="preserve"> exercising its regulatory authority over all ITS related charges can </w:t>
      </w:r>
      <w:r>
        <w:t>it</w:t>
      </w:r>
      <w:r w:rsidRPr="009919A2">
        <w:t xml:space="preserve"> truly reduce costs to consumers, encourage efficiency, and meaningfully impact commissions without creating a windfall for ITS providers at the expense of facilities, counties, and, ultimately, taxpayers.</w:t>
      </w:r>
      <w:r>
        <w:t xml:space="preserve">  </w:t>
      </w:r>
      <w:r>
        <w:t xml:space="preserve">For the second issue, </w:t>
      </w:r>
      <w:r>
        <w:lastRenderedPageBreak/>
        <w:t xml:space="preserve">ICSolutions submits that any rate reform should be applied to all contracts at the same time, even if that means delaying the implementation. </w:t>
      </w:r>
    </w:p>
    <w:p w:rsidR="00E1475A" w:rsidRPr="00CD3B62" w:rsidRDefault="00E1475A" w:rsidP="00E60171">
      <w:pPr>
        <w:pStyle w:val="Heading1"/>
      </w:pPr>
      <w:bookmarkStart w:id="1" w:name="_Toc504050845"/>
      <w:r w:rsidRPr="00CD3B62">
        <w:t>Summary of the Case &amp; Relevant Background</w:t>
      </w:r>
      <w:bookmarkEnd w:id="1"/>
    </w:p>
    <w:p w:rsidR="00E1475A" w:rsidRDefault="00E1475A" w:rsidP="00E1475A">
      <w:pPr>
        <w:spacing w:line="480" w:lineRule="auto"/>
        <w:ind w:firstLine="720"/>
        <w:jc w:val="both"/>
      </w:pPr>
      <w:r>
        <w:t>In Georgia, ITS rates are evaluated in PSC Docket No. 18870, which is a contested case proceeding, whereby the PSC periodically reviews and sets ITS rates as warranted by changes to the market or federal regulatory scheme.</w:t>
      </w:r>
      <w:r>
        <w:rPr>
          <w:rStyle w:val="FootnoteReference"/>
        </w:rPr>
        <w:footnoteReference w:id="2"/>
      </w:r>
      <w:r>
        <w:t xml:space="preserve">  Prior to the PSO, the most recent periodic review of the ITS rates was initiated as a result of rate orders issued by the Federal Communications Commission (“FCC”), which raised questions as to the just and reasonableness of the existing ITS rate caps for in-state calls made from Georgia institutions.</w:t>
      </w:r>
      <w:r>
        <w:rPr>
          <w:rStyle w:val="FootnoteReference"/>
        </w:rPr>
        <w:footnoteReference w:id="3"/>
      </w:r>
      <w:r>
        <w:t xml:space="preserve">  </w:t>
      </w:r>
    </w:p>
    <w:p w:rsidR="00E1475A" w:rsidRPr="00E60171" w:rsidRDefault="00E1475A" w:rsidP="007F171A">
      <w:pPr>
        <w:pStyle w:val="Heading2"/>
      </w:pPr>
      <w:bookmarkStart w:id="2" w:name="_Toc504050846"/>
      <w:r w:rsidRPr="00E60171">
        <w:t>Federal Communications Commission (FCC) Docket No. 12-375, Implementation of the Pay Telephone Reclassification and Compensation Provisions of the Telecommunications Act of 1996 et al.</w:t>
      </w:r>
      <w:bookmarkEnd w:id="2"/>
    </w:p>
    <w:p w:rsidR="00E1475A" w:rsidRDefault="00E1475A" w:rsidP="00E1475A">
      <w:pPr>
        <w:spacing w:line="480" w:lineRule="auto"/>
        <w:ind w:firstLine="720"/>
        <w:jc w:val="both"/>
      </w:pPr>
      <w:r>
        <w:t xml:space="preserve">The Federal Communications Commission (“FCC”) was reviewing ITS rates in a rulemaking </w:t>
      </w:r>
      <w:r w:rsidRPr="001E7D76">
        <w:t>proceeding, Docket No. 12-375, Implementation of the Pay Telephone Reclassification and Compensation Provisions of the Telecommunications Act of 1996 et al.</w:t>
      </w:r>
      <w:r>
        <w:t xml:space="preserve">  As a result of its review, the FCC issued three orders with rate caps: 2013 Rate Order capping interstate rates;</w:t>
      </w:r>
      <w:r>
        <w:rPr>
          <w:rStyle w:val="FootnoteReference"/>
        </w:rPr>
        <w:footnoteReference w:id="4"/>
      </w:r>
      <w:r>
        <w:t xml:space="preserve"> 2015 Rate Order capping rates and fees;</w:t>
      </w:r>
      <w:r>
        <w:rPr>
          <w:rStyle w:val="FootnoteReference"/>
        </w:rPr>
        <w:footnoteReference w:id="5"/>
      </w:r>
      <w:r>
        <w:t xml:space="preserve"> and 2016 Rate Order modifying the </w:t>
      </w:r>
      <w:r>
        <w:lastRenderedPageBreak/>
        <w:t>rate caps.</w:t>
      </w:r>
      <w:r>
        <w:rPr>
          <w:rStyle w:val="FootnoteReference"/>
        </w:rPr>
        <w:footnoteReference w:id="6"/>
      </w:r>
      <w:r>
        <w:t xml:space="preserve">  All the FCC Rate Orders were appealed,</w:t>
      </w:r>
      <w:r>
        <w:rPr>
          <w:rStyle w:val="FootnoteReference"/>
        </w:rPr>
        <w:footnoteReference w:id="7"/>
      </w:r>
      <w:r>
        <w:t xml:space="preserve"> and were stayed in part or in full by the D.C. Circuit Court, with the 2016 Rate Order being stayed in its entirety.</w:t>
      </w:r>
      <w:r>
        <w:rPr>
          <w:rStyle w:val="FootnoteReference"/>
        </w:rPr>
        <w:footnoteReference w:id="8"/>
      </w:r>
      <w:r>
        <w:t xml:space="preserve">  </w:t>
      </w:r>
    </w:p>
    <w:p w:rsidR="00E1475A" w:rsidRDefault="00E1475A" w:rsidP="00E1475A">
      <w:pPr>
        <w:spacing w:line="480" w:lineRule="auto"/>
        <w:ind w:firstLine="720"/>
        <w:jc w:val="both"/>
      </w:pPr>
      <w:r>
        <w:t>On June 13, 2017, the D.C. Circuit Court issued its opinion in the appeal of the 2015 Rate Order, which had the following relevant holdings:</w:t>
      </w:r>
    </w:p>
    <w:p w:rsidR="00E1475A" w:rsidRPr="00EC5B75" w:rsidRDefault="00E1475A" w:rsidP="00E1475A">
      <w:pPr>
        <w:pStyle w:val="ListParagraph"/>
        <w:numPr>
          <w:ilvl w:val="2"/>
          <w:numId w:val="3"/>
        </w:numPr>
        <w:spacing w:line="259" w:lineRule="auto"/>
        <w:ind w:right="720"/>
        <w:jc w:val="both"/>
      </w:pPr>
      <w:r w:rsidRPr="00EC5B75">
        <w:t>We</w:t>
      </w:r>
      <w:r w:rsidRPr="00EC5B75">
        <w:rPr>
          <w:spacing w:val="23"/>
        </w:rPr>
        <w:t xml:space="preserve"> </w:t>
      </w:r>
      <w:r w:rsidRPr="00EC5B75">
        <w:t>hold</w:t>
      </w:r>
      <w:r w:rsidRPr="00EC5B75">
        <w:rPr>
          <w:spacing w:val="41"/>
        </w:rPr>
        <w:t xml:space="preserve"> </w:t>
      </w:r>
      <w:r w:rsidRPr="00EC5B75">
        <w:t>that</w:t>
      </w:r>
      <w:r w:rsidRPr="00EC5B75">
        <w:rPr>
          <w:spacing w:val="30"/>
        </w:rPr>
        <w:t xml:space="preserve"> </w:t>
      </w:r>
      <w:r w:rsidRPr="00EC5B75">
        <w:t>the</w:t>
      </w:r>
      <w:r w:rsidRPr="00EC5B75">
        <w:rPr>
          <w:spacing w:val="36"/>
        </w:rPr>
        <w:t xml:space="preserve"> </w:t>
      </w:r>
      <w:r w:rsidRPr="00EC5B75">
        <w:rPr>
          <w:i/>
        </w:rPr>
        <w:t>Order's</w:t>
      </w:r>
      <w:r w:rsidRPr="00EC5B75">
        <w:rPr>
          <w:i/>
          <w:spacing w:val="9"/>
        </w:rPr>
        <w:t xml:space="preserve"> </w:t>
      </w:r>
      <w:r w:rsidRPr="00EC5B75">
        <w:rPr>
          <w:w w:val="110"/>
        </w:rPr>
        <w:t>proposed</w:t>
      </w:r>
      <w:r w:rsidRPr="00EC5B75">
        <w:rPr>
          <w:spacing w:val="-9"/>
          <w:w w:val="110"/>
        </w:rPr>
        <w:t xml:space="preserve"> </w:t>
      </w:r>
      <w:r w:rsidRPr="00EC5B75">
        <w:t>caps</w:t>
      </w:r>
      <w:r w:rsidRPr="00EC5B75">
        <w:rPr>
          <w:spacing w:val="36"/>
        </w:rPr>
        <w:t xml:space="preserve"> </w:t>
      </w:r>
      <w:r w:rsidRPr="00EC5B75">
        <w:t>on</w:t>
      </w:r>
      <w:r w:rsidRPr="00EC5B75">
        <w:rPr>
          <w:spacing w:val="25"/>
        </w:rPr>
        <w:t xml:space="preserve"> </w:t>
      </w:r>
      <w:r w:rsidRPr="00EC5B75">
        <w:rPr>
          <w:i/>
        </w:rPr>
        <w:t>intrastate</w:t>
      </w:r>
      <w:r w:rsidRPr="00EC5B75">
        <w:rPr>
          <w:i/>
          <w:spacing w:val="-16"/>
        </w:rPr>
        <w:t xml:space="preserve"> </w:t>
      </w:r>
      <w:r w:rsidRPr="00EC5B75">
        <w:rPr>
          <w:w w:val="109"/>
        </w:rPr>
        <w:t xml:space="preserve">rates </w:t>
      </w:r>
      <w:r w:rsidRPr="00EC5B75">
        <w:t>exceed the</w:t>
      </w:r>
      <w:r w:rsidRPr="00EC5B75">
        <w:rPr>
          <w:spacing w:val="31"/>
        </w:rPr>
        <w:t xml:space="preserve"> </w:t>
      </w:r>
      <w:r w:rsidRPr="00EC5B75">
        <w:rPr>
          <w:w w:val="117"/>
        </w:rPr>
        <w:t>FCC's</w:t>
      </w:r>
      <w:r w:rsidRPr="00EC5B75">
        <w:rPr>
          <w:spacing w:val="8"/>
          <w:w w:val="117"/>
        </w:rPr>
        <w:t xml:space="preserve"> </w:t>
      </w:r>
      <w:r w:rsidRPr="00EC5B75">
        <w:t xml:space="preserve">statutory </w:t>
      </w:r>
      <w:r w:rsidRPr="00EC5B75">
        <w:rPr>
          <w:w w:val="109"/>
        </w:rPr>
        <w:t>authority</w:t>
      </w:r>
      <w:r w:rsidRPr="00EC5B75">
        <w:rPr>
          <w:spacing w:val="11"/>
          <w:w w:val="109"/>
        </w:rPr>
        <w:t xml:space="preserve"> </w:t>
      </w:r>
      <w:r w:rsidRPr="00EC5B75">
        <w:t>under</w:t>
      </w:r>
      <w:r w:rsidRPr="00EC5B75">
        <w:rPr>
          <w:spacing w:val="53"/>
        </w:rPr>
        <w:t xml:space="preserve"> </w:t>
      </w:r>
      <w:r w:rsidRPr="00EC5B75">
        <w:t>the</w:t>
      </w:r>
      <w:r w:rsidRPr="00EC5B75">
        <w:rPr>
          <w:spacing w:val="38"/>
        </w:rPr>
        <w:t xml:space="preserve"> </w:t>
      </w:r>
      <w:r w:rsidRPr="00EC5B75">
        <w:t xml:space="preserve">1996 </w:t>
      </w:r>
      <w:r w:rsidRPr="00EC5B75">
        <w:rPr>
          <w:w w:val="111"/>
        </w:rPr>
        <w:t xml:space="preserve">Act. </w:t>
      </w:r>
      <w:r w:rsidRPr="00EC5B75">
        <w:t>We</w:t>
      </w:r>
      <w:r w:rsidRPr="00EC5B75">
        <w:rPr>
          <w:spacing w:val="23"/>
        </w:rPr>
        <w:t xml:space="preserve"> </w:t>
      </w:r>
      <w:r w:rsidRPr="00EC5B75">
        <w:rPr>
          <w:w w:val="110"/>
        </w:rPr>
        <w:t>therefore</w:t>
      </w:r>
      <w:r w:rsidRPr="00EC5B75">
        <w:rPr>
          <w:spacing w:val="-22"/>
          <w:w w:val="110"/>
        </w:rPr>
        <w:t xml:space="preserve"> </w:t>
      </w:r>
      <w:r w:rsidRPr="00EC5B75">
        <w:t>vacate</w:t>
      </w:r>
      <w:r w:rsidRPr="00EC5B75">
        <w:rPr>
          <w:spacing w:val="53"/>
        </w:rPr>
        <w:t xml:space="preserve"> </w:t>
      </w:r>
      <w:r w:rsidRPr="00EC5B75">
        <w:t>this</w:t>
      </w:r>
      <w:r w:rsidRPr="00EC5B75">
        <w:rPr>
          <w:spacing w:val="26"/>
        </w:rPr>
        <w:t xml:space="preserve"> </w:t>
      </w:r>
      <w:r w:rsidRPr="00EC5B75">
        <w:rPr>
          <w:w w:val="109"/>
        </w:rPr>
        <w:t>provision.</w:t>
      </w:r>
    </w:p>
    <w:p w:rsidR="00E1475A" w:rsidRPr="00EC5B75" w:rsidRDefault="00E1475A" w:rsidP="00E1475A">
      <w:pPr>
        <w:spacing w:before="8" w:line="280" w:lineRule="exact"/>
        <w:ind w:left="1440" w:right="720"/>
        <w:jc w:val="both"/>
      </w:pPr>
    </w:p>
    <w:p w:rsidR="00E1475A" w:rsidRPr="002C08B7" w:rsidRDefault="00E1475A" w:rsidP="00E1475A">
      <w:pPr>
        <w:pStyle w:val="ListParagraph"/>
        <w:numPr>
          <w:ilvl w:val="2"/>
          <w:numId w:val="3"/>
        </w:numPr>
        <w:tabs>
          <w:tab w:val="left" w:pos="2100"/>
          <w:tab w:val="left" w:pos="3160"/>
          <w:tab w:val="left" w:pos="4940"/>
          <w:tab w:val="left" w:pos="5480"/>
          <w:tab w:val="left" w:pos="6560"/>
          <w:tab w:val="left" w:pos="7380"/>
        </w:tabs>
        <w:spacing w:line="258" w:lineRule="auto"/>
        <w:ind w:right="720"/>
        <w:jc w:val="both"/>
      </w:pPr>
      <w:r w:rsidRPr="002C08B7">
        <w:t>We further hold</w:t>
      </w:r>
      <w:r w:rsidRPr="002C08B7">
        <w:rPr>
          <w:spacing w:val="32"/>
        </w:rPr>
        <w:t xml:space="preserve"> </w:t>
      </w:r>
      <w:r w:rsidRPr="002C08B7">
        <w:t>that</w:t>
      </w:r>
      <w:r w:rsidRPr="002C08B7">
        <w:rPr>
          <w:spacing w:val="31"/>
        </w:rPr>
        <w:t xml:space="preserve"> </w:t>
      </w:r>
      <w:r w:rsidRPr="002C08B7">
        <w:t>the</w:t>
      </w:r>
      <w:r w:rsidRPr="002C08B7">
        <w:rPr>
          <w:spacing w:val="20"/>
        </w:rPr>
        <w:t xml:space="preserve"> </w:t>
      </w:r>
      <w:r w:rsidRPr="002C08B7">
        <w:t>use</w:t>
      </w:r>
      <w:r w:rsidRPr="002C08B7">
        <w:rPr>
          <w:spacing w:val="23"/>
        </w:rPr>
        <w:t xml:space="preserve"> </w:t>
      </w:r>
      <w:r w:rsidRPr="002C08B7">
        <w:t>of</w:t>
      </w:r>
      <w:r w:rsidRPr="002C08B7">
        <w:rPr>
          <w:spacing w:val="31"/>
        </w:rPr>
        <w:t xml:space="preserve"> </w:t>
      </w:r>
      <w:r w:rsidRPr="002C08B7">
        <w:rPr>
          <w:w w:val="106"/>
        </w:rPr>
        <w:t>industry-averaged</w:t>
      </w:r>
      <w:r w:rsidRPr="002C08B7">
        <w:rPr>
          <w:spacing w:val="8"/>
          <w:w w:val="106"/>
        </w:rPr>
        <w:t xml:space="preserve"> </w:t>
      </w:r>
      <w:r w:rsidRPr="002C08B7">
        <w:t>cost</w:t>
      </w:r>
      <w:r w:rsidRPr="002C08B7">
        <w:rPr>
          <w:spacing w:val="35"/>
        </w:rPr>
        <w:t xml:space="preserve"> </w:t>
      </w:r>
      <w:r w:rsidRPr="002C08B7">
        <w:rPr>
          <w:w w:val="107"/>
        </w:rPr>
        <w:t xml:space="preserve">data </w:t>
      </w:r>
      <w:r w:rsidRPr="002C08B7">
        <w:t>as</w:t>
      </w:r>
      <w:r w:rsidRPr="002C08B7">
        <w:rPr>
          <w:spacing w:val="-3"/>
        </w:rPr>
        <w:t xml:space="preserve"> </w:t>
      </w:r>
      <w:r w:rsidRPr="002C08B7">
        <w:t>proposed in</w:t>
      </w:r>
      <w:r w:rsidRPr="002C08B7">
        <w:rPr>
          <w:spacing w:val="1"/>
        </w:rPr>
        <w:t xml:space="preserve"> </w:t>
      </w:r>
      <w:r w:rsidRPr="002C08B7">
        <w:t>the</w:t>
      </w:r>
      <w:r w:rsidRPr="002C08B7">
        <w:rPr>
          <w:spacing w:val="7"/>
        </w:rPr>
        <w:t xml:space="preserve"> </w:t>
      </w:r>
      <w:r w:rsidRPr="002C08B7">
        <w:rPr>
          <w:i/>
        </w:rPr>
        <w:t>Order</w:t>
      </w:r>
      <w:r w:rsidRPr="002C08B7">
        <w:rPr>
          <w:i/>
          <w:spacing w:val="15"/>
        </w:rPr>
        <w:t xml:space="preserve"> </w:t>
      </w:r>
      <w:r w:rsidRPr="002C08B7">
        <w:t>is</w:t>
      </w:r>
      <w:r w:rsidRPr="002C08B7">
        <w:rPr>
          <w:spacing w:val="-12"/>
        </w:rPr>
        <w:t xml:space="preserve"> </w:t>
      </w:r>
      <w:r w:rsidRPr="002C08B7">
        <w:t>arbitrary</w:t>
      </w:r>
      <w:r w:rsidRPr="002C08B7">
        <w:rPr>
          <w:spacing w:val="55"/>
        </w:rPr>
        <w:t xml:space="preserve"> </w:t>
      </w:r>
      <w:r w:rsidRPr="002C08B7">
        <w:t>and</w:t>
      </w:r>
      <w:r w:rsidRPr="002C08B7">
        <w:rPr>
          <w:spacing w:val="16"/>
        </w:rPr>
        <w:t xml:space="preserve"> </w:t>
      </w:r>
      <w:r w:rsidRPr="002C08B7">
        <w:rPr>
          <w:w w:val="108"/>
        </w:rPr>
        <w:t>capricious</w:t>
      </w:r>
      <w:r w:rsidRPr="002C08B7">
        <w:rPr>
          <w:spacing w:val="-12"/>
          <w:w w:val="108"/>
        </w:rPr>
        <w:t xml:space="preserve"> </w:t>
      </w:r>
      <w:r w:rsidRPr="002C08B7">
        <w:rPr>
          <w:w w:val="108"/>
        </w:rPr>
        <w:t>because it</w:t>
      </w:r>
      <w:r w:rsidRPr="002C08B7">
        <w:rPr>
          <w:spacing w:val="25"/>
        </w:rPr>
        <w:t xml:space="preserve"> </w:t>
      </w:r>
      <w:r w:rsidRPr="002C08B7">
        <w:rPr>
          <w:spacing w:val="4"/>
        </w:rPr>
        <w:t>l</w:t>
      </w:r>
      <w:r w:rsidRPr="002C08B7">
        <w:t>acks</w:t>
      </w:r>
      <w:r w:rsidRPr="002C08B7">
        <w:rPr>
          <w:spacing w:val="37"/>
        </w:rPr>
        <w:t xml:space="preserve"> </w:t>
      </w:r>
      <w:r w:rsidRPr="002C08B7">
        <w:rPr>
          <w:w w:val="107"/>
        </w:rPr>
        <w:t>justification</w:t>
      </w:r>
      <w:r w:rsidRPr="002C08B7">
        <w:rPr>
          <w:spacing w:val="35"/>
          <w:w w:val="107"/>
        </w:rPr>
        <w:t xml:space="preserve"> </w:t>
      </w:r>
      <w:r w:rsidRPr="002C08B7">
        <w:t>in</w:t>
      </w:r>
      <w:r w:rsidRPr="002C08B7">
        <w:rPr>
          <w:spacing w:val="36"/>
        </w:rPr>
        <w:t xml:space="preserve"> </w:t>
      </w:r>
      <w:r w:rsidRPr="002C08B7">
        <w:t>the</w:t>
      </w:r>
      <w:r w:rsidRPr="002C08B7">
        <w:rPr>
          <w:spacing w:val="48"/>
        </w:rPr>
        <w:t xml:space="preserve"> </w:t>
      </w:r>
      <w:r w:rsidRPr="002C08B7">
        <w:t>record</w:t>
      </w:r>
      <w:r w:rsidRPr="002C08B7">
        <w:rPr>
          <w:spacing w:val="49"/>
        </w:rPr>
        <w:t xml:space="preserve"> </w:t>
      </w:r>
      <w:r w:rsidRPr="002C08B7">
        <w:t>and is</w:t>
      </w:r>
      <w:r w:rsidRPr="002C08B7">
        <w:rPr>
          <w:spacing w:val="30"/>
        </w:rPr>
        <w:t xml:space="preserve"> </w:t>
      </w:r>
      <w:r w:rsidRPr="002C08B7">
        <w:t>not</w:t>
      </w:r>
      <w:r w:rsidRPr="002C08B7">
        <w:rPr>
          <w:spacing w:val="36"/>
        </w:rPr>
        <w:t xml:space="preserve"> </w:t>
      </w:r>
      <w:r w:rsidRPr="002C08B7">
        <w:t>supported</w:t>
      </w:r>
      <w:r w:rsidRPr="002C08B7">
        <w:rPr>
          <w:spacing w:val="39"/>
        </w:rPr>
        <w:t xml:space="preserve"> </w:t>
      </w:r>
      <w:r w:rsidRPr="002C08B7">
        <w:rPr>
          <w:w w:val="108"/>
        </w:rPr>
        <w:t xml:space="preserve">by </w:t>
      </w:r>
      <w:r w:rsidRPr="002C08B7">
        <w:t>reasoned</w:t>
      </w:r>
      <w:r w:rsidRPr="002C08B7">
        <w:rPr>
          <w:spacing w:val="8"/>
        </w:rPr>
        <w:t xml:space="preserve"> </w:t>
      </w:r>
      <w:r w:rsidRPr="002C08B7">
        <w:rPr>
          <w:w w:val="108"/>
        </w:rPr>
        <w:t>decisionmakin</w:t>
      </w:r>
      <w:r w:rsidRPr="002C08B7">
        <w:rPr>
          <w:spacing w:val="1"/>
          <w:w w:val="108"/>
        </w:rPr>
        <w:t>g</w:t>
      </w:r>
      <w:r w:rsidRPr="002C08B7">
        <w:rPr>
          <w:w w:val="108"/>
        </w:rPr>
        <w:t>.</w:t>
      </w:r>
      <w:r w:rsidRPr="002C08B7">
        <w:rPr>
          <w:spacing w:val="-51"/>
          <w:w w:val="108"/>
        </w:rPr>
        <w:t xml:space="preserve"> </w:t>
      </w:r>
      <w:r w:rsidRPr="002C08B7">
        <w:t xml:space="preserve"> We</w:t>
      </w:r>
      <w:r w:rsidRPr="002C08B7">
        <w:rPr>
          <w:spacing w:val="-37"/>
        </w:rPr>
        <w:t xml:space="preserve"> </w:t>
      </w:r>
      <w:r w:rsidRPr="002C08B7">
        <w:t>therefore vacate this provision.</w:t>
      </w:r>
    </w:p>
    <w:p w:rsidR="00E1475A" w:rsidRDefault="00E1475A" w:rsidP="00E1475A">
      <w:pPr>
        <w:spacing w:before="17" w:line="280" w:lineRule="exact"/>
        <w:ind w:left="1440" w:right="720"/>
        <w:jc w:val="both"/>
      </w:pPr>
      <w:r>
        <w:t>. . . .</w:t>
      </w:r>
    </w:p>
    <w:p w:rsidR="00E1475A" w:rsidRPr="00EC5B75" w:rsidRDefault="00E1475A" w:rsidP="00E1475A">
      <w:pPr>
        <w:pStyle w:val="ListParagraph"/>
        <w:numPr>
          <w:ilvl w:val="2"/>
          <w:numId w:val="3"/>
        </w:numPr>
        <w:spacing w:line="256" w:lineRule="auto"/>
        <w:ind w:right="720"/>
        <w:jc w:val="both"/>
      </w:pPr>
      <w:r w:rsidRPr="00EC5B75">
        <w:t>We find</w:t>
      </w:r>
      <w:r w:rsidRPr="00EC5B75">
        <w:rPr>
          <w:spacing w:val="42"/>
        </w:rPr>
        <w:t xml:space="preserve"> </w:t>
      </w:r>
      <w:r w:rsidRPr="00EC5B75">
        <w:t>that</w:t>
      </w:r>
      <w:r w:rsidRPr="00EC5B75">
        <w:rPr>
          <w:spacing w:val="38"/>
        </w:rPr>
        <w:t xml:space="preserve"> </w:t>
      </w:r>
      <w:r w:rsidRPr="00EC5B75">
        <w:t>the</w:t>
      </w:r>
      <w:r w:rsidRPr="00EC5B75">
        <w:rPr>
          <w:spacing w:val="28"/>
        </w:rPr>
        <w:t xml:space="preserve"> </w:t>
      </w:r>
      <w:r w:rsidRPr="00EC5B75">
        <w:rPr>
          <w:i/>
        </w:rPr>
        <w:t xml:space="preserve">Order's </w:t>
      </w:r>
      <w:r w:rsidRPr="00EC5B75">
        <w:t xml:space="preserve">proposed </w:t>
      </w:r>
      <w:r w:rsidRPr="00EC5B75">
        <w:rPr>
          <w:w w:val="108"/>
        </w:rPr>
        <w:t>wh</w:t>
      </w:r>
      <w:r w:rsidRPr="00EC5B75">
        <w:rPr>
          <w:spacing w:val="-2"/>
          <w:w w:val="108"/>
        </w:rPr>
        <w:t>o</w:t>
      </w:r>
      <w:r w:rsidRPr="00EC5B75">
        <w:rPr>
          <w:spacing w:val="-5"/>
          <w:w w:val="108"/>
        </w:rPr>
        <w:t>l</w:t>
      </w:r>
      <w:r w:rsidRPr="00EC5B75">
        <w:rPr>
          <w:w w:val="108"/>
        </w:rPr>
        <w:t>esale</w:t>
      </w:r>
      <w:r w:rsidRPr="00EC5B75">
        <w:rPr>
          <w:spacing w:val="1"/>
          <w:w w:val="108"/>
        </w:rPr>
        <w:t xml:space="preserve"> </w:t>
      </w:r>
      <w:r w:rsidRPr="00EC5B75">
        <w:rPr>
          <w:w w:val="108"/>
        </w:rPr>
        <w:t>exclusion</w:t>
      </w:r>
      <w:r w:rsidRPr="00EC5B75">
        <w:rPr>
          <w:spacing w:val="5"/>
          <w:w w:val="108"/>
        </w:rPr>
        <w:t xml:space="preserve"> </w:t>
      </w:r>
      <w:r w:rsidRPr="00EC5B75">
        <w:rPr>
          <w:w w:val="116"/>
        </w:rPr>
        <w:t xml:space="preserve">of </w:t>
      </w:r>
      <w:r w:rsidRPr="00EC5B75">
        <w:t>site</w:t>
      </w:r>
      <w:r w:rsidRPr="00EC5B75">
        <w:rPr>
          <w:spacing w:val="30"/>
        </w:rPr>
        <w:t xml:space="preserve"> </w:t>
      </w:r>
      <w:r w:rsidRPr="00EC5B75">
        <w:rPr>
          <w:w w:val="108"/>
        </w:rPr>
        <w:t>commission</w:t>
      </w:r>
      <w:r w:rsidRPr="00EC5B75">
        <w:rPr>
          <w:spacing w:val="14"/>
          <w:w w:val="108"/>
        </w:rPr>
        <w:t xml:space="preserve"> </w:t>
      </w:r>
      <w:r>
        <w:t>payments</w:t>
      </w:r>
      <w:r w:rsidRPr="00EC5B75">
        <w:rPr>
          <w:spacing w:val="10"/>
        </w:rPr>
        <w:t xml:space="preserve"> </w:t>
      </w:r>
      <w:r w:rsidRPr="00EC5B75">
        <w:t>from</w:t>
      </w:r>
      <w:r w:rsidRPr="00EC5B75">
        <w:rPr>
          <w:spacing w:val="42"/>
        </w:rPr>
        <w:t xml:space="preserve"> </w:t>
      </w:r>
      <w:r w:rsidRPr="00EC5B75">
        <w:t>the</w:t>
      </w:r>
      <w:r w:rsidRPr="00EC5B75">
        <w:rPr>
          <w:spacing w:val="31"/>
        </w:rPr>
        <w:t xml:space="preserve"> </w:t>
      </w:r>
      <w:r w:rsidRPr="00EC5B75">
        <w:rPr>
          <w:w w:val="115"/>
        </w:rPr>
        <w:t>FCC's</w:t>
      </w:r>
      <w:r w:rsidRPr="00EC5B75">
        <w:rPr>
          <w:spacing w:val="-9"/>
          <w:w w:val="115"/>
        </w:rPr>
        <w:t xml:space="preserve"> </w:t>
      </w:r>
      <w:r w:rsidRPr="00EC5B75">
        <w:t>cost</w:t>
      </w:r>
      <w:r w:rsidRPr="00EC5B75">
        <w:rPr>
          <w:spacing w:val="35"/>
        </w:rPr>
        <w:t xml:space="preserve"> </w:t>
      </w:r>
      <w:r w:rsidRPr="00EC5B75">
        <w:t xml:space="preserve">calculus </w:t>
      </w:r>
      <w:r w:rsidRPr="00EC5B75">
        <w:rPr>
          <w:w w:val="108"/>
        </w:rPr>
        <w:t xml:space="preserve">is </w:t>
      </w:r>
      <w:r w:rsidRPr="00EC5B75">
        <w:t>devoid of</w:t>
      </w:r>
      <w:r w:rsidRPr="00EC5B75">
        <w:rPr>
          <w:spacing w:val="41"/>
        </w:rPr>
        <w:t xml:space="preserve"> </w:t>
      </w:r>
      <w:r>
        <w:t>reasoned</w:t>
      </w:r>
      <w:r w:rsidRPr="00EC5B75">
        <w:rPr>
          <w:spacing w:val="10"/>
        </w:rPr>
        <w:t xml:space="preserve"> </w:t>
      </w:r>
      <w:r w:rsidRPr="00EC5B75">
        <w:rPr>
          <w:w w:val="110"/>
        </w:rPr>
        <w:t>deci</w:t>
      </w:r>
      <w:r w:rsidRPr="00EC5B75">
        <w:rPr>
          <w:spacing w:val="-3"/>
          <w:w w:val="111"/>
        </w:rPr>
        <w:t>s</w:t>
      </w:r>
      <w:r w:rsidRPr="00EC5B75">
        <w:rPr>
          <w:spacing w:val="3"/>
          <w:w w:val="87"/>
        </w:rPr>
        <w:t>i</w:t>
      </w:r>
      <w:r w:rsidRPr="00EC5B75">
        <w:rPr>
          <w:w w:val="109"/>
        </w:rPr>
        <w:t>onmakin</w:t>
      </w:r>
      <w:r w:rsidRPr="00EC5B75">
        <w:rPr>
          <w:w w:val="110"/>
        </w:rPr>
        <w:t>g</w:t>
      </w:r>
      <w:r w:rsidRPr="00EC5B75">
        <w:rPr>
          <w:spacing w:val="11"/>
        </w:rPr>
        <w:t xml:space="preserve"> </w:t>
      </w:r>
      <w:r w:rsidRPr="00EC5B75">
        <w:t>and</w:t>
      </w:r>
      <w:r w:rsidRPr="00EC5B75">
        <w:rPr>
          <w:spacing w:val="50"/>
        </w:rPr>
        <w:t xml:space="preserve"> </w:t>
      </w:r>
      <w:r w:rsidRPr="00EC5B75">
        <w:t>thus</w:t>
      </w:r>
      <w:r w:rsidRPr="00EC5B75">
        <w:rPr>
          <w:spacing w:val="38"/>
        </w:rPr>
        <w:t xml:space="preserve"> </w:t>
      </w:r>
      <w:r w:rsidRPr="00EC5B75">
        <w:t xml:space="preserve">arbitrary </w:t>
      </w:r>
      <w:r w:rsidRPr="00EC5B75">
        <w:rPr>
          <w:w w:val="108"/>
        </w:rPr>
        <w:t>an</w:t>
      </w:r>
      <w:r>
        <w:rPr>
          <w:w w:val="108"/>
        </w:rPr>
        <w:t>d</w:t>
      </w:r>
      <w:r w:rsidRPr="00EC5B75">
        <w:rPr>
          <w:w w:val="108"/>
        </w:rPr>
        <w:t xml:space="preserve"> capricious. </w:t>
      </w:r>
      <w:r w:rsidRPr="00EC5B75">
        <w:rPr>
          <w:spacing w:val="46"/>
          <w:w w:val="108"/>
        </w:rPr>
        <w:t xml:space="preserve"> </w:t>
      </w:r>
      <w:r>
        <w:t>This</w:t>
      </w:r>
      <w:r w:rsidRPr="00EC5B75">
        <w:rPr>
          <w:spacing w:val="38"/>
        </w:rPr>
        <w:t xml:space="preserve"> </w:t>
      </w:r>
      <w:r>
        <w:t>provision</w:t>
      </w:r>
      <w:r w:rsidRPr="00EC5B75">
        <w:rPr>
          <w:spacing w:val="14"/>
        </w:rPr>
        <w:t xml:space="preserve"> </w:t>
      </w:r>
      <w:r w:rsidRPr="00EC5B75">
        <w:t>cann</w:t>
      </w:r>
      <w:r>
        <w:t>ot</w:t>
      </w:r>
      <w:r w:rsidRPr="00EC5B75">
        <w:rPr>
          <w:spacing w:val="32"/>
        </w:rPr>
        <w:t xml:space="preserve"> </w:t>
      </w:r>
      <w:r>
        <w:t xml:space="preserve">stand as </w:t>
      </w:r>
      <w:r w:rsidRPr="00EC5B75">
        <w:rPr>
          <w:w w:val="108"/>
        </w:rPr>
        <w:t xml:space="preserve">presently </w:t>
      </w:r>
      <w:r w:rsidRPr="00EC5B75">
        <w:t>proposed in</w:t>
      </w:r>
      <w:r w:rsidRPr="00EC5B75">
        <w:rPr>
          <w:spacing w:val="36"/>
        </w:rPr>
        <w:t xml:space="preserve"> </w:t>
      </w:r>
      <w:r w:rsidRPr="00EC5B75">
        <w:t>the</w:t>
      </w:r>
      <w:r w:rsidRPr="00EC5B75">
        <w:rPr>
          <w:spacing w:val="43"/>
        </w:rPr>
        <w:t xml:space="preserve"> </w:t>
      </w:r>
      <w:r w:rsidRPr="00EC5B75">
        <w:rPr>
          <w:i/>
        </w:rPr>
        <w:t>Order</w:t>
      </w:r>
      <w:r w:rsidRPr="00EC5B75">
        <w:rPr>
          <w:i/>
          <w:spacing w:val="50"/>
        </w:rPr>
        <w:t xml:space="preserve"> </w:t>
      </w:r>
      <w:r w:rsidRPr="00EC5B75">
        <w:t xml:space="preserve">under </w:t>
      </w:r>
      <w:r>
        <w:t xml:space="preserve">review; </w:t>
      </w:r>
      <w:r w:rsidRPr="00EC5B75">
        <w:t>we</w:t>
      </w:r>
      <w:r w:rsidRPr="00EC5B75">
        <w:rPr>
          <w:spacing w:val="53"/>
        </w:rPr>
        <w:t xml:space="preserve"> </w:t>
      </w:r>
      <w:r>
        <w:t>therefore</w:t>
      </w:r>
      <w:r w:rsidRPr="00EC5B75">
        <w:rPr>
          <w:spacing w:val="30"/>
        </w:rPr>
        <w:t xml:space="preserve"> </w:t>
      </w:r>
      <w:r w:rsidRPr="00EC5B75">
        <w:rPr>
          <w:w w:val="108"/>
        </w:rPr>
        <w:t xml:space="preserve">vacate </w:t>
      </w:r>
      <w:r>
        <w:t>this</w:t>
      </w:r>
      <w:r w:rsidRPr="00EC5B75">
        <w:rPr>
          <w:spacing w:val="2"/>
        </w:rPr>
        <w:t xml:space="preserve"> </w:t>
      </w:r>
      <w:r w:rsidRPr="00EC5B75">
        <w:t xml:space="preserve">provision and remand for </w:t>
      </w:r>
      <w:r>
        <w:rPr>
          <w:spacing w:val="2"/>
        </w:rPr>
        <w:t>f</w:t>
      </w:r>
      <w:r w:rsidRPr="00EC5B75">
        <w:t xml:space="preserve">urther </w:t>
      </w:r>
      <w:r w:rsidRPr="00EC5B75">
        <w:rPr>
          <w:w w:val="107"/>
        </w:rPr>
        <w:t>proceedings</w:t>
      </w:r>
      <w:r w:rsidRPr="00EC5B75">
        <w:rPr>
          <w:spacing w:val="7"/>
          <w:w w:val="107"/>
        </w:rPr>
        <w:t xml:space="preserve"> </w:t>
      </w:r>
      <w:r>
        <w:t>on</w:t>
      </w:r>
      <w:r w:rsidRPr="00EC5B75">
        <w:rPr>
          <w:spacing w:val="7"/>
        </w:rPr>
        <w:t xml:space="preserve"> </w:t>
      </w:r>
      <w:r w:rsidRPr="00EC5B75">
        <w:rPr>
          <w:w w:val="110"/>
        </w:rPr>
        <w:t>the matter.</w:t>
      </w:r>
    </w:p>
    <w:p w:rsidR="00E1475A" w:rsidRDefault="00E1475A" w:rsidP="00E1475A">
      <w:pPr>
        <w:spacing w:line="200" w:lineRule="exact"/>
        <w:ind w:left="1440" w:right="720"/>
        <w:jc w:val="both"/>
      </w:pPr>
      <w:r>
        <w:t>. . . .</w:t>
      </w:r>
    </w:p>
    <w:p w:rsidR="00E1475A" w:rsidRPr="00D16C3A" w:rsidRDefault="00E1475A" w:rsidP="00E1475A">
      <w:pPr>
        <w:pStyle w:val="ListParagraph"/>
        <w:numPr>
          <w:ilvl w:val="2"/>
          <w:numId w:val="3"/>
        </w:numPr>
        <w:spacing w:line="254" w:lineRule="auto"/>
        <w:ind w:right="720"/>
        <w:jc w:val="both"/>
        <w:rPr>
          <w:w w:val="109"/>
        </w:rPr>
      </w:pPr>
      <w:r w:rsidRPr="00EC5B75">
        <w:t xml:space="preserve">We </w:t>
      </w:r>
      <w:r w:rsidRPr="00EC5B75">
        <w:rPr>
          <w:spacing w:val="26"/>
        </w:rPr>
        <w:t xml:space="preserve"> </w:t>
      </w:r>
      <w:r w:rsidRPr="00EC5B75">
        <w:t xml:space="preserve">remand  </w:t>
      </w:r>
      <w:r w:rsidRPr="00EC5B75">
        <w:rPr>
          <w:spacing w:val="1"/>
        </w:rPr>
        <w:t xml:space="preserve"> </w:t>
      </w:r>
      <w:r w:rsidRPr="00EC5B75">
        <w:t xml:space="preserve">the </w:t>
      </w:r>
      <w:r w:rsidRPr="00EC5B75">
        <w:rPr>
          <w:spacing w:val="16"/>
        </w:rPr>
        <w:t xml:space="preserve"> </w:t>
      </w:r>
      <w:r w:rsidRPr="00EC5B75">
        <w:rPr>
          <w:w w:val="109"/>
        </w:rPr>
        <w:t>challenge</w:t>
      </w:r>
      <w:r w:rsidRPr="00EC5B75">
        <w:rPr>
          <w:spacing w:val="37"/>
          <w:w w:val="109"/>
        </w:rPr>
        <w:t xml:space="preserve"> </w:t>
      </w:r>
      <w:r w:rsidRPr="00EC5B75">
        <w:t xml:space="preserve">to </w:t>
      </w:r>
      <w:r w:rsidRPr="00EC5B75">
        <w:rPr>
          <w:spacing w:val="18"/>
        </w:rPr>
        <w:t xml:space="preserve"> </w:t>
      </w:r>
      <w:r w:rsidRPr="00EC5B75">
        <w:t xml:space="preserve">the </w:t>
      </w:r>
      <w:r w:rsidRPr="00EC5B75">
        <w:rPr>
          <w:spacing w:val="25"/>
        </w:rPr>
        <w:t xml:space="preserve"> </w:t>
      </w:r>
      <w:r w:rsidRPr="00EC5B75">
        <w:rPr>
          <w:i/>
        </w:rPr>
        <w:t xml:space="preserve">Order's </w:t>
      </w:r>
      <w:r w:rsidRPr="00EC5B75">
        <w:rPr>
          <w:i/>
          <w:spacing w:val="12"/>
        </w:rPr>
        <w:t xml:space="preserve"> </w:t>
      </w:r>
      <w:r w:rsidRPr="0069015C">
        <w:rPr>
          <w:w w:val="109"/>
        </w:rPr>
        <w:t xml:space="preserve">imposition of ancillary fee caps to allow  the  </w:t>
      </w:r>
      <w:r w:rsidRPr="00EC5B75">
        <w:rPr>
          <w:w w:val="109"/>
        </w:rPr>
        <w:t>Commission</w:t>
      </w:r>
      <w:r w:rsidRPr="0069015C">
        <w:rPr>
          <w:w w:val="109"/>
        </w:rPr>
        <w:t xml:space="preserve"> to determine whether it can </w:t>
      </w:r>
      <w:r w:rsidRPr="00EC5B75">
        <w:rPr>
          <w:w w:val="109"/>
        </w:rPr>
        <w:t>segregate</w:t>
      </w:r>
      <w:r w:rsidRPr="0069015C">
        <w:rPr>
          <w:w w:val="109"/>
        </w:rPr>
        <w:t xml:space="preserve"> </w:t>
      </w:r>
      <w:r w:rsidRPr="00EC5B75">
        <w:rPr>
          <w:w w:val="109"/>
        </w:rPr>
        <w:t>proposed</w:t>
      </w:r>
      <w:r w:rsidRPr="0069015C">
        <w:rPr>
          <w:w w:val="109"/>
        </w:rPr>
        <w:t xml:space="preserve"> caps on interstate calls (which are </w:t>
      </w:r>
      <w:r w:rsidRPr="00EC5B75">
        <w:rPr>
          <w:w w:val="109"/>
        </w:rPr>
        <w:t>permissible)</w:t>
      </w:r>
      <w:r w:rsidRPr="0069015C">
        <w:rPr>
          <w:w w:val="109"/>
        </w:rPr>
        <w:t xml:space="preserve"> and the proposed caps on </w:t>
      </w:r>
      <w:r w:rsidRPr="00EC5B75">
        <w:rPr>
          <w:w w:val="109"/>
        </w:rPr>
        <w:t xml:space="preserve">intrastate </w:t>
      </w:r>
      <w:r w:rsidRPr="0069015C">
        <w:rPr>
          <w:w w:val="109"/>
        </w:rPr>
        <w:t>calls (which are impermissible</w:t>
      </w:r>
      <w:r w:rsidRPr="00EC5B75">
        <w:rPr>
          <w:w w:val="109"/>
        </w:rPr>
        <w:t>).</w:t>
      </w:r>
      <w:r w:rsidRPr="0069015C">
        <w:rPr>
          <w:vertAlign w:val="superscript"/>
        </w:rPr>
        <w:footnoteReference w:id="9"/>
      </w:r>
    </w:p>
    <w:p w:rsidR="00E1475A" w:rsidRPr="009507DF" w:rsidRDefault="00E1475A" w:rsidP="00E1475A">
      <w:pPr>
        <w:spacing w:line="480" w:lineRule="auto"/>
      </w:pPr>
      <w:r w:rsidRPr="00D16C3A">
        <w:lastRenderedPageBreak/>
        <w:t>On July 28, 2017, the Wright Petitioners, Intervenors in the appeal, filed a</w:t>
      </w:r>
      <w:r>
        <w:t xml:space="preserve"> petition for rehearing </w:t>
      </w:r>
      <w:r w:rsidRPr="00A40046">
        <w:rPr>
          <w:i/>
        </w:rPr>
        <w:t>en banc</w:t>
      </w:r>
      <w:r>
        <w:t>,</w:t>
      </w:r>
      <w:r w:rsidRPr="00D16C3A">
        <w:rPr>
          <w:rStyle w:val="FootnoteReference"/>
        </w:rPr>
        <w:footnoteReference w:id="10"/>
      </w:r>
      <w:r w:rsidRPr="00D16C3A">
        <w:t xml:space="preserve"> </w:t>
      </w:r>
      <w:r>
        <w:t>which was denied.</w:t>
      </w:r>
      <w:r>
        <w:rPr>
          <w:rStyle w:val="FootnoteReference"/>
        </w:rPr>
        <w:footnoteReference w:id="11"/>
      </w:r>
      <w:r w:rsidRPr="00D16C3A">
        <w:t xml:space="preserve">  </w:t>
      </w:r>
      <w:r w:rsidRPr="009507DF">
        <w:t>At this time, the relevant, effective parts of the FCC’s Rate Orders are summarized below:</w:t>
      </w:r>
    </w:p>
    <w:p w:rsidR="00E1475A" w:rsidRPr="009507DF" w:rsidRDefault="00E1475A" w:rsidP="00E1475A">
      <w:pPr>
        <w:pStyle w:val="ListParagraph"/>
        <w:spacing w:after="240"/>
        <w:jc w:val="both"/>
      </w:pPr>
      <w:r w:rsidRPr="009507DF">
        <w:rPr>
          <w:b/>
        </w:rPr>
        <w:t>2013 Rate Order</w:t>
      </w:r>
      <w:r w:rsidRPr="009507DF">
        <w:t>: Interstate rates are capped at $0.21 per minute for debit and prepaid calls, and $0.25 per minute for collect calls.</w:t>
      </w:r>
      <w:r w:rsidRPr="009507DF">
        <w:rPr>
          <w:rStyle w:val="FootnoteReference"/>
        </w:rPr>
        <w:t xml:space="preserve"> </w:t>
      </w:r>
      <w:r w:rsidRPr="009507DF">
        <w:rPr>
          <w:rStyle w:val="FootnoteReference"/>
        </w:rPr>
        <w:footnoteReference w:id="12"/>
      </w:r>
    </w:p>
    <w:p w:rsidR="00E1475A" w:rsidRPr="009507DF" w:rsidRDefault="00E1475A" w:rsidP="00E1475A">
      <w:pPr>
        <w:pStyle w:val="ListParagraph"/>
        <w:spacing w:after="240"/>
        <w:jc w:val="both"/>
        <w:rPr>
          <w:b/>
        </w:rPr>
      </w:pPr>
    </w:p>
    <w:p w:rsidR="00E1475A" w:rsidRPr="009507DF" w:rsidRDefault="00E1475A" w:rsidP="00E1475A">
      <w:pPr>
        <w:pStyle w:val="ListParagraph"/>
        <w:spacing w:after="240"/>
        <w:jc w:val="both"/>
      </w:pPr>
      <w:r w:rsidRPr="009507DF">
        <w:rPr>
          <w:b/>
        </w:rPr>
        <w:t>2015 Rate Order</w:t>
      </w:r>
      <w:r w:rsidRPr="009507DF">
        <w:t>: The imposition of  fee caps of $5.95 for live agent fees and $3.00 for web and IVR fees as they pertain to funding accounts that apply to interstate calling, and the prohibition of flat-rate calling and per-call surcharges.</w:t>
      </w:r>
      <w:r w:rsidRPr="009507DF">
        <w:rPr>
          <w:rStyle w:val="FootnoteReference"/>
        </w:rPr>
        <w:footnoteReference w:id="13"/>
      </w:r>
    </w:p>
    <w:p w:rsidR="00E1475A" w:rsidRDefault="00E1475A" w:rsidP="00E1475A">
      <w:pPr>
        <w:spacing w:line="480" w:lineRule="auto"/>
        <w:jc w:val="both"/>
      </w:pPr>
      <w:r w:rsidRPr="009507DF">
        <w:t>On December 21, 2017, the D.C. Court of Appeals dismissed the appeal of the FCC’s 2013 Rate Order as moot,</w:t>
      </w:r>
      <w:r>
        <w:rPr>
          <w:rStyle w:val="FootnoteReference"/>
        </w:rPr>
        <w:footnoteReference w:id="14"/>
      </w:r>
      <w:r w:rsidRPr="009507DF">
        <w:t xml:space="preserve"> and vacated the FCC’s 2016 Rate Order.</w:t>
      </w:r>
      <w:r>
        <w:rPr>
          <w:rStyle w:val="FootnoteReference"/>
        </w:rPr>
        <w:footnoteReference w:id="15"/>
      </w:r>
    </w:p>
    <w:p w:rsidR="00E1475A" w:rsidRPr="00826EE9" w:rsidRDefault="00E1475A" w:rsidP="007F171A">
      <w:pPr>
        <w:pStyle w:val="Heading2"/>
      </w:pPr>
      <w:bookmarkStart w:id="3" w:name="_Toc504050847"/>
      <w:r w:rsidRPr="00826EE9">
        <w:t>Docket No. 18870: GPSC Generic Proceeding to Investigate ALL Local and Long Distance Telephone Charges from Institutional/Correctional Facilities.</w:t>
      </w:r>
      <w:bookmarkEnd w:id="3"/>
    </w:p>
    <w:p w:rsidR="001E1B7B" w:rsidRDefault="00E1475A" w:rsidP="00E1475A">
      <w:pPr>
        <w:spacing w:line="480" w:lineRule="auto"/>
        <w:ind w:firstLine="720"/>
        <w:jc w:val="both"/>
      </w:pPr>
      <w:r>
        <w:t>In Docket No. 18870, the PSC has ordered several changes to the rate caps over the years. (</w:t>
      </w:r>
      <w:r>
        <w:rPr>
          <w:i/>
        </w:rPr>
        <w:t>See, e.g.</w:t>
      </w:r>
      <w:r>
        <w:t>,</w:t>
      </w:r>
      <w:r w:rsidR="00B04E5D">
        <w:t xml:space="preserve"> In r</w:t>
      </w:r>
      <w:r>
        <w:t xml:space="preserve">e: Institutional Telecommunication Services, </w:t>
      </w:r>
      <w:r>
        <w:rPr>
          <w:i/>
        </w:rPr>
        <w:t>Order Modifying Rates for Local Institutional Telecommunications Services</w:t>
      </w:r>
      <w:r>
        <w:t>, GA PSC Docket No. 18870 (July 7, 2016)). The PSO ordered that the local rates of $0.18 per minute will remain the same, and established new overall rate caps for intrastate, non-local calls that vary based on facility type and size, and range from $0.16 to $0.31:</w:t>
      </w:r>
      <w:r>
        <w:rPr>
          <w:rStyle w:val="FootnoteReference"/>
        </w:rPr>
        <w:footnoteReference w:id="16"/>
      </w:r>
      <w:r>
        <w:t xml:space="preserve">  </w:t>
      </w:r>
    </w:p>
    <w:p w:rsidR="001E1B7B" w:rsidRDefault="001E1B7B">
      <w:pPr>
        <w:spacing w:after="200" w:line="276" w:lineRule="auto"/>
      </w:pPr>
      <w:r>
        <w:br w:type="page"/>
      </w:r>
    </w:p>
    <w:p w:rsidR="00E1475A" w:rsidRDefault="00E1475A" w:rsidP="00E1475A">
      <w:pPr>
        <w:spacing w:line="480" w:lineRule="auto"/>
        <w:ind w:firstLine="720"/>
        <w:jc w:val="both"/>
      </w:pPr>
    </w:p>
    <w:tbl>
      <w:tblPr>
        <w:tblW w:w="94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0"/>
        <w:gridCol w:w="1080"/>
        <w:gridCol w:w="1890"/>
        <w:gridCol w:w="2160"/>
        <w:gridCol w:w="2790"/>
      </w:tblGrid>
      <w:tr w:rsidR="00E1475A" w:rsidRPr="00193375" w:rsidTr="00134174">
        <w:tc>
          <w:tcPr>
            <w:tcW w:w="1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1475A" w:rsidRPr="00193375" w:rsidRDefault="00E1475A" w:rsidP="00134174">
            <w:pPr>
              <w:jc w:val="center"/>
            </w:pPr>
            <w:r w:rsidRPr="00193375">
              <w:rPr>
                <w:b/>
                <w:bCs/>
              </w:rPr>
              <w:t>Facility Type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1475A" w:rsidRPr="00193375" w:rsidRDefault="00E1475A" w:rsidP="00134174">
            <w:pPr>
              <w:jc w:val="center"/>
            </w:pPr>
            <w:r w:rsidRPr="00193375">
              <w:rPr>
                <w:b/>
                <w:bCs/>
              </w:rPr>
              <w:t>ADP</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1475A" w:rsidRPr="00193375" w:rsidRDefault="00E1475A" w:rsidP="00134174">
            <w:pPr>
              <w:jc w:val="center"/>
            </w:pPr>
            <w:r w:rsidRPr="00193375">
              <w:rPr>
                <w:b/>
                <w:bCs/>
              </w:rPr>
              <w:t>ICS Vendor Rate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1475A" w:rsidRPr="00193375" w:rsidRDefault="00E1475A" w:rsidP="00134174">
            <w:pPr>
              <w:jc w:val="center"/>
            </w:pPr>
            <w:r w:rsidRPr="00193375">
              <w:rPr>
                <w:b/>
                <w:bCs/>
              </w:rPr>
              <w:t>Explicit Cost Recovery Additive</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1475A" w:rsidRPr="00193375" w:rsidRDefault="00E1475A" w:rsidP="00134174">
            <w:pPr>
              <w:jc w:val="center"/>
            </w:pPr>
            <w:r w:rsidRPr="00193375">
              <w:rPr>
                <w:b/>
                <w:bCs/>
              </w:rPr>
              <w:t>Total Consumer Cost</w:t>
            </w:r>
          </w:p>
        </w:tc>
      </w:tr>
      <w:tr w:rsidR="00E1475A" w:rsidRPr="00193375" w:rsidTr="00134174">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r w:rsidRPr="00193375">
              <w:t>Jail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r w:rsidRPr="00193375">
              <w:t>0-349</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$.22</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$.09</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$.31</w:t>
            </w:r>
          </w:p>
        </w:tc>
      </w:tr>
      <w:tr w:rsidR="00E1475A" w:rsidRPr="00193375" w:rsidTr="00134174">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r w:rsidRPr="00193375">
              <w:t>Jail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r w:rsidRPr="00193375">
              <w:t>350-999</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$.16</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$.05</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$.21</w:t>
            </w:r>
          </w:p>
        </w:tc>
      </w:tr>
      <w:tr w:rsidR="00E1475A" w:rsidRPr="00193375" w:rsidTr="00134174">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r w:rsidRPr="00193375">
              <w:t>Jail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r w:rsidRPr="00193375">
              <w:t>1000+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$.14</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$.05</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$.19</w:t>
            </w:r>
          </w:p>
        </w:tc>
      </w:tr>
      <w:tr w:rsidR="00E1475A" w:rsidRPr="00193375" w:rsidTr="00134174">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r w:rsidRPr="00193375">
              <w:t>Prison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r w:rsidRPr="00193375">
              <w:t>ALL</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$.11</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$.05</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E1475A" w:rsidRPr="00193375" w:rsidRDefault="00E1475A" w:rsidP="00134174">
            <w:pPr>
              <w:jc w:val="center"/>
            </w:pPr>
            <w:r w:rsidRPr="00193375">
              <w:t>$.16</w:t>
            </w:r>
          </w:p>
        </w:tc>
      </w:tr>
    </w:tbl>
    <w:p w:rsidR="00E1475A" w:rsidRDefault="00E1475A" w:rsidP="00E1475A">
      <w:pPr>
        <w:spacing w:line="480" w:lineRule="auto"/>
        <w:ind w:firstLine="720"/>
        <w:jc w:val="both"/>
      </w:pPr>
    </w:p>
    <w:p w:rsidR="00E1475A" w:rsidRPr="00BD6D91" w:rsidRDefault="00E1475A" w:rsidP="00E1475A">
      <w:pPr>
        <w:spacing w:line="480" w:lineRule="auto"/>
        <w:jc w:val="both"/>
      </w:pPr>
      <w:r w:rsidRPr="00BD6D91">
        <w:t>Notably, the rates in the “ICS Vendor Rate” column are the same rate caps set forth in the FCC’s 2016 Rate Order.</w:t>
      </w:r>
      <w:r w:rsidRPr="00BD6D91">
        <w:rPr>
          <w:rStyle w:val="FootnoteReference"/>
        </w:rPr>
        <w:footnoteReference w:id="17"/>
      </w:r>
      <w:r w:rsidRPr="00BD6D91">
        <w:t xml:space="preserve">  Thus, the rate caps approved by the PSC for intrastate rates can be broken down as follows:</w:t>
      </w:r>
    </w:p>
    <w:p w:rsidR="00E1475A" w:rsidRPr="00BD6D91" w:rsidRDefault="00E1475A" w:rsidP="00E1475A">
      <w:pPr>
        <w:spacing w:line="480" w:lineRule="auto"/>
        <w:ind w:firstLine="360"/>
        <w:jc w:val="both"/>
        <w:rPr>
          <w:b/>
          <w:i/>
        </w:rPr>
      </w:pPr>
      <w:r w:rsidRPr="00BD6D91">
        <w:rPr>
          <w:b/>
          <w:i/>
        </w:rPr>
        <w:t>PSC 2017 Rate Caps = FCC’s 2015 Rate Caps + Estimated ITS-Related Costs for ITS</w:t>
      </w:r>
    </w:p>
    <w:p w:rsidR="00E1475A" w:rsidRPr="00BD6D91" w:rsidRDefault="00E1475A" w:rsidP="00E1475A">
      <w:pPr>
        <w:spacing w:line="480" w:lineRule="auto"/>
        <w:jc w:val="both"/>
      </w:pPr>
      <w:r w:rsidRPr="00BD6D91">
        <w:t>Importantly, the D.C. Circuit has vacated the 2016 Rate Order in its entirety,</w:t>
      </w:r>
      <w:r w:rsidRPr="00BD6D91">
        <w:rPr>
          <w:rStyle w:val="FootnoteReference"/>
        </w:rPr>
        <w:footnoteReference w:id="18"/>
      </w:r>
      <w:r w:rsidRPr="00BD6D91">
        <w:t xml:space="preserve"> as well as vacated the rate caps in the 2015 Rate Order because they are arbitrary and capricious.</w:t>
      </w:r>
      <w:r w:rsidRPr="00BD6D91">
        <w:rPr>
          <w:rStyle w:val="FootnoteReference"/>
        </w:rPr>
        <w:footnoteReference w:id="19"/>
      </w:r>
      <w:r w:rsidRPr="00BD6D91">
        <w:t xml:space="preserve">  </w:t>
      </w:r>
    </w:p>
    <w:p w:rsidR="00FC23FB" w:rsidRDefault="00FC23FB" w:rsidP="00E1475A">
      <w:pPr>
        <w:keepNext/>
        <w:keepLines/>
        <w:spacing w:line="480" w:lineRule="auto"/>
        <w:jc w:val="center"/>
        <w:rPr>
          <w:b/>
          <w:smallCaps/>
          <w:u w:val="single"/>
        </w:rPr>
      </w:pPr>
    </w:p>
    <w:p w:rsidR="00E1475A" w:rsidRDefault="00E1475A" w:rsidP="00E60171">
      <w:pPr>
        <w:pStyle w:val="Heading1"/>
      </w:pPr>
      <w:bookmarkStart w:id="4" w:name="_Toc504050848"/>
      <w:r>
        <w:t>Argument</w:t>
      </w:r>
      <w:bookmarkEnd w:id="4"/>
    </w:p>
    <w:p w:rsidR="00E1475A" w:rsidRPr="009919A2" w:rsidRDefault="00E1475A" w:rsidP="001E1B7B">
      <w:pPr>
        <w:spacing w:line="480" w:lineRule="auto"/>
        <w:ind w:firstLine="720"/>
        <w:jc w:val="both"/>
      </w:pPr>
      <w:r w:rsidRPr="009919A2">
        <w:t xml:space="preserve">The PSC does not have the authority to cap commissions.  In theory, the PSC could attempt to indirectly regulate commissions by establishing an automatic rate cap adjustment, whereby the overall rate cap is reduced by the amount of commissions paid beyond an established benchmark.  In practice, </w:t>
      </w:r>
      <w:r w:rsidR="00FC23FB">
        <w:t xml:space="preserve">however, </w:t>
      </w:r>
      <w:r w:rsidRPr="009919A2">
        <w:t xml:space="preserve">such a regulation would be a waste of PSC’s resources since it is virtually impossible to design and enforce a regulation that would cover all commissions.  Rather than attempt a complex, resource-intensive regulatory scheme that, even if successful, is likely to create a windfall for ITS providers and highly unlikely to reduce costs to </w:t>
      </w:r>
      <w:r w:rsidRPr="009919A2">
        <w:lastRenderedPageBreak/>
        <w:t>consumers, ICSolutions recommends the PSC focus on setting low just and reasonable caps on calling rates and service fees.  The PSC can lawfully regulate all charges made in conjunction with ITS services, and only by exercising its regulatory authority over all ITS related charges can the PSC truly reduce costs to consumers, encourage efficiency, and meaningfully impact commissions without creating a windfall for ITS providers at the expense of facilities, counties, and, ultimately, taxpayers.</w:t>
      </w:r>
      <w:r>
        <w:t xml:space="preserve">  In any event, whatever regulation the PSC decides to implement, it should be applied to all contracts equally and simultaneously, even if it means delaying implementation, to ensure fairness and avoid regulatory interference with competition.</w:t>
      </w:r>
    </w:p>
    <w:p w:rsidR="00E1475A" w:rsidRDefault="00E1475A" w:rsidP="007F171A">
      <w:pPr>
        <w:pStyle w:val="Heading2"/>
        <w:numPr>
          <w:ilvl w:val="0"/>
          <w:numId w:val="12"/>
        </w:numPr>
      </w:pPr>
      <w:bookmarkStart w:id="5" w:name="_Toc504050849"/>
      <w:r w:rsidRPr="00896A12">
        <w:t>The PSC should avoid capping commissions because it exceeds the PSC’</w:t>
      </w:r>
      <w:r>
        <w:t>s legal authority.</w:t>
      </w:r>
      <w:bookmarkEnd w:id="5"/>
    </w:p>
    <w:p w:rsidR="00E1475A" w:rsidRPr="00896A12" w:rsidRDefault="00E1475A" w:rsidP="00E1475A">
      <w:pPr>
        <w:pStyle w:val="ListParagraph"/>
        <w:spacing w:before="360" w:after="200"/>
        <w:ind w:left="360"/>
        <w:jc w:val="both"/>
        <w:rPr>
          <w:b/>
        </w:rPr>
      </w:pPr>
    </w:p>
    <w:p w:rsidR="00E1475A" w:rsidRDefault="00E1475A" w:rsidP="00E1475A">
      <w:pPr>
        <w:pStyle w:val="ListParagraph"/>
        <w:spacing w:line="480" w:lineRule="auto"/>
        <w:ind w:left="0" w:firstLine="720"/>
        <w:jc w:val="both"/>
      </w:pPr>
      <w:r>
        <w:t xml:space="preserve">The PSC cannot lawfully cap commissions because the PSC does not have statutory authority to do so and any such regulations would violate the U.S. Constitution.  </w:t>
      </w:r>
    </w:p>
    <w:p w:rsidR="00E1475A" w:rsidRDefault="00E1475A" w:rsidP="00E1475A">
      <w:pPr>
        <w:spacing w:line="480" w:lineRule="auto"/>
        <w:ind w:firstLine="720"/>
        <w:jc w:val="both"/>
        <w:rPr>
          <w:i/>
        </w:rPr>
      </w:pPr>
      <w:r>
        <w:t xml:space="preserve">The PSC has no statutory authority to dictate how a company spends its money.  “The Georgia Public Service Commission has only such powers as the legislature has expressly, or by fair implication, conferred upon it.”  </w:t>
      </w:r>
      <w:r>
        <w:rPr>
          <w:i/>
        </w:rPr>
        <w:t>Georgia Power Co. v. Georgia Public Service Comm’n</w:t>
      </w:r>
      <w:r>
        <w:t xml:space="preserve">, 85 S.E.2d 14, 18 (Ga. 1954). </w:t>
      </w:r>
      <w:r>
        <w:rPr>
          <w:i/>
        </w:rPr>
        <w:t xml:space="preserve"> </w:t>
      </w:r>
      <w:r>
        <w:t xml:space="preserve">While the legislature has delegated authority to the PSC to set rates, Ga. Code Ann. § 46-2-23, et al., the PSC has no authority to perform the managerial function of determining how a company utilizes its revenue and profits. The PSC cannot rely on its “general supervision” authority, as set forth in Ga. Code Ann. § 46-2-20(a), to support regulations on management decisions.  The statute is broad and provides an outline of the jurisdiction, but the general language does not expressly or implicitly vest particular, specific powers in the commission to supplant management’s decisionmaking, for such statutory authority would certainly raise constitutional questions for the lack of associated standards.  Moreover, if such a </w:t>
      </w:r>
      <w:r>
        <w:lastRenderedPageBreak/>
        <w:t xml:space="preserve">broad statute could be relied upon to perform a specific managerial function, it would have been unnecessary for the Legislature to provide specific statutes for any of the PSC’s functions, such as ratemaking, since anything the PSC wanted to regulate over a utility could be done under the vague and broad statute.  </w:t>
      </w:r>
      <w:r>
        <w:rPr>
          <w:i/>
        </w:rPr>
        <w:t>See Union Carbide Corp v. Public Serv. Comm’n</w:t>
      </w:r>
      <w:r>
        <w:t>, 431 Mich. 135, 147-48 (1988).</w:t>
      </w:r>
      <w:r>
        <w:rPr>
          <w:i/>
        </w:rPr>
        <w:t xml:space="preserve"> </w:t>
      </w:r>
    </w:p>
    <w:p w:rsidR="00E1475A" w:rsidRDefault="00E1475A" w:rsidP="00E1475A">
      <w:pPr>
        <w:pStyle w:val="ListParagraph"/>
        <w:spacing w:line="480" w:lineRule="auto"/>
        <w:ind w:left="0" w:firstLine="720"/>
        <w:jc w:val="both"/>
      </w:pPr>
      <w:r>
        <w:t>Regulations that dictate how a utility can spend its money are void because they violate the Fourteenth Amendment of the U.S. Constitution.  The Georgia Supreme Court has long held:</w:t>
      </w:r>
    </w:p>
    <w:p w:rsidR="00E1475A" w:rsidRPr="0011005C" w:rsidRDefault="00E1475A" w:rsidP="00E1475A">
      <w:pPr>
        <w:pStyle w:val="ListParagraph"/>
        <w:spacing w:after="240"/>
        <w:ind w:right="720"/>
        <w:contextualSpacing w:val="0"/>
        <w:jc w:val="both"/>
      </w:pPr>
      <w:r w:rsidRPr="0011005C">
        <w:rPr>
          <w:color w:val="000000"/>
        </w:rPr>
        <w:t>The public power to regulate railroads and the private right of ownership of such property coexist, and the one does not destroy the other. Where the power to regulate is so arbitrarily exercised as to infringe the rights of ownership, the exertion is void as being repugnant to the fourteenth amendment of the Constitution of the United States, and also to the due process clause of the state Constitution.</w:t>
      </w:r>
    </w:p>
    <w:p w:rsidR="00E1475A" w:rsidRDefault="00E1475A" w:rsidP="00E1475A">
      <w:pPr>
        <w:pStyle w:val="ListParagraph"/>
        <w:spacing w:line="480" w:lineRule="auto"/>
        <w:ind w:left="0"/>
        <w:jc w:val="both"/>
      </w:pPr>
      <w:r>
        <w:rPr>
          <w:i/>
        </w:rPr>
        <w:t>Railroad Comm’n of Georgia, et al v. Louisville &amp; N. R. Co.</w:t>
      </w:r>
      <w:r>
        <w:t>, L.R.A. 1915E, 902; 140 Ga. 817, 80 S.E. 327, 334 (Ga. 1913) (quoting the syllabus of the Court, which summarized the language on page 334 of the Opinion);</w:t>
      </w:r>
      <w:r>
        <w:rPr>
          <w:rStyle w:val="FootnoteReference"/>
        </w:rPr>
        <w:footnoteReference w:id="20"/>
      </w:r>
      <w:r>
        <w:t xml:space="preserve"> </w:t>
      </w:r>
      <w:r>
        <w:rPr>
          <w:i/>
        </w:rPr>
        <w:t>see also Missouri ex rel Southwestern Bell Telephone Co. v. Public Service Comm’n</w:t>
      </w:r>
      <w:r>
        <w:t xml:space="preserve">, 262 U.S., 276, 289 (1923) (“It must never be forgotten that while the State may regulate with a view to enforcing reasonable rates and charges, it is not the owner of the property of public utility companies and is not clothed with the general power of management incident to ownership.”).  Rather, managerial decisionmaking, like that of determining how to utilize funds, is a basic right of ownership that is outside the PSC’s jurisdiction and would be unconstitutional to infringe upon. </w:t>
      </w:r>
      <w:r>
        <w:rPr>
          <w:i/>
        </w:rPr>
        <w:t>See Railroad Comm’n of Georgia,</w:t>
      </w:r>
      <w:r>
        <w:t xml:space="preserve"> 80 S.E. at 334; </w:t>
      </w:r>
      <w:r>
        <w:rPr>
          <w:i/>
        </w:rPr>
        <w:t>Georgia Power Co.</w:t>
      </w:r>
      <w:r>
        <w:t xml:space="preserve">, 85 S.E.2d at 19 (“Public regulation must not supplant private management.”).  Thus, the PSC cannot lawfully cap commissions or dictate to ITS providers </w:t>
      </w:r>
      <w:r>
        <w:lastRenderedPageBreak/>
        <w:t>how they are conveyed, such as attempting to impose a limitation that commissions can only be paid on a per-minute basis.</w:t>
      </w:r>
    </w:p>
    <w:p w:rsidR="00E1475A" w:rsidRDefault="00E1475A" w:rsidP="00E1475A">
      <w:pPr>
        <w:spacing w:line="480" w:lineRule="auto"/>
        <w:ind w:firstLine="720"/>
        <w:jc w:val="both"/>
      </w:pPr>
      <w:r>
        <w:t xml:space="preserve">Moreover, even if the PSC believes that it could successfully argue that overriding a regulated entity’s managerial decisions is permitted under the Fourteenth Amendment and an authority delegated to it by the Legislature, it could not lawfully prohibit the transfer of funds for all purposes, as some corporate actions are protected by the First Amendment of the U.S. Constitution. </w:t>
      </w:r>
      <w:r>
        <w:rPr>
          <w:i/>
        </w:rPr>
        <w:t>Citizens United v. Federal Election Comm’n</w:t>
      </w:r>
      <w:r>
        <w:t>, 558 U.S. 310, 355 (2010) (“[T]he First Amendment protects the right of corporations to petition legislative and administrative bodies.” (citations omitted)).</w:t>
      </w:r>
    </w:p>
    <w:p w:rsidR="00E1475A" w:rsidRPr="001246CA" w:rsidRDefault="00E1475A" w:rsidP="00E1475A">
      <w:pPr>
        <w:spacing w:line="480" w:lineRule="auto"/>
        <w:ind w:firstLine="720"/>
        <w:jc w:val="both"/>
      </w:pPr>
      <w:r>
        <w:t>Furthermore, even if the PSC could lawfully curtail commissions, it could not control whether a county charges rent or other fees to ITS providers.  In Georgia, the counties have original and exclusive jurisdiction over their property as the county “deems expedient.” O.C.G.A. § 36-5-22.1 (2010).  The PSC can discourage such payments by not authorizing the recovery through rates, but the PSC has no authority to prevent counties from charging rent or other fees to ITS providers.</w:t>
      </w:r>
    </w:p>
    <w:p w:rsidR="00E1475A" w:rsidRDefault="00E1475A" w:rsidP="00E1475A">
      <w:pPr>
        <w:spacing w:line="480" w:lineRule="auto"/>
        <w:ind w:firstLine="720"/>
        <w:jc w:val="both"/>
      </w:pPr>
      <w:r>
        <w:t>For all of these reasons, the end result is that the PSC can allow or disallow the recovery in ITS rates of all or some of site commissions, but the PSC cannot lawfully prevent ITS companies from giving more commissions to facilities than what is allowed for recovery in rates.</w:t>
      </w:r>
    </w:p>
    <w:p w:rsidR="00E1475A" w:rsidRDefault="00E1475A" w:rsidP="007F171A">
      <w:pPr>
        <w:pStyle w:val="Heading2"/>
      </w:pPr>
      <w:bookmarkStart w:id="6" w:name="_Toc504050850"/>
      <w:r w:rsidRPr="00896A12">
        <w:t xml:space="preserve">Setting automatic rate cap adjustments in an attempt to regulate commissions </w:t>
      </w:r>
      <w:r>
        <w:t xml:space="preserve">would require </w:t>
      </w:r>
      <w:r w:rsidRPr="00896A12">
        <w:t>clearly defined sta</w:t>
      </w:r>
      <w:r>
        <w:t>ndards and, even then, such regulation is likely to result in a waste of resources</w:t>
      </w:r>
      <w:r w:rsidRPr="00896A12">
        <w:t>.</w:t>
      </w:r>
      <w:bookmarkEnd w:id="6"/>
      <w:r w:rsidRPr="00896A12">
        <w:t xml:space="preserve"> </w:t>
      </w:r>
    </w:p>
    <w:p w:rsidR="00E1475A" w:rsidRPr="00896A12" w:rsidRDefault="00E1475A" w:rsidP="00E1475A">
      <w:pPr>
        <w:pStyle w:val="ListParagraph"/>
        <w:ind w:left="1080"/>
        <w:jc w:val="both"/>
        <w:rPr>
          <w:b/>
        </w:rPr>
      </w:pPr>
    </w:p>
    <w:p w:rsidR="00E1475A" w:rsidRDefault="00E1475A" w:rsidP="00E1475A">
      <w:pPr>
        <w:spacing w:line="480" w:lineRule="auto"/>
        <w:ind w:firstLine="720"/>
        <w:jc w:val="both"/>
      </w:pPr>
      <w:r w:rsidRPr="00EA12BD">
        <w:t xml:space="preserve">While the PSC cannot prohibit commissions, it does have the authority to set rates in a manner attempting to indirectly regulate commissions, such as setting automatic rate cap adjustments that are directly related to the amount of commissions.  </w:t>
      </w:r>
      <w:r w:rsidRPr="00EA12BD">
        <w:rPr>
          <w:i/>
        </w:rPr>
        <w:t xml:space="preserve">See </w:t>
      </w:r>
      <w:r w:rsidRPr="00EA12BD">
        <w:t xml:space="preserve">Tr., pp. 183-84.  While </w:t>
      </w:r>
      <w:r w:rsidRPr="00EA12BD">
        <w:lastRenderedPageBreak/>
        <w:t xml:space="preserve">ICSolutions submits </w:t>
      </w:r>
      <w:r>
        <w:t xml:space="preserve">that </w:t>
      </w:r>
      <w:r w:rsidRPr="00EA12BD">
        <w:t xml:space="preserve">any rate cap adjustment will ultimately be ineffective, if the PSC does decide to pursue it, any rate cap adjustment regulation would need to incorporate </w:t>
      </w:r>
      <w:r>
        <w:t>certain</w:t>
      </w:r>
      <w:r w:rsidRPr="00EA12BD">
        <w:t xml:space="preserve"> standards to have any chance of accomplishing the goal of reducing site commissions to reduce costs to consumers</w:t>
      </w:r>
      <w:r>
        <w:t xml:space="preserve">.  The resources to enforce an automatic rate cap adjustment will be great.  Even with diligent enforcement, there will be factors that the PSC cannot control that will allow ITS providers to circumvent the regulation.  </w:t>
      </w:r>
    </w:p>
    <w:p w:rsidR="00E1475A" w:rsidRPr="00E60171" w:rsidRDefault="00E1475A" w:rsidP="00E60171">
      <w:pPr>
        <w:pStyle w:val="Heading3"/>
      </w:pPr>
      <w:bookmarkStart w:id="7" w:name="_Toc504050851"/>
      <w:r w:rsidRPr="00E60171">
        <w:t>For the automatic rate cap adjustment to have a chance at success, the PSC must clearly define commissions and regulate all consumer charges related to ITS.</w:t>
      </w:r>
      <w:bookmarkEnd w:id="7"/>
    </w:p>
    <w:p w:rsidR="00E1475A" w:rsidRPr="00FF0E7C" w:rsidRDefault="00E1475A" w:rsidP="00E1475A">
      <w:pPr>
        <w:pStyle w:val="ListParagraph"/>
        <w:jc w:val="both"/>
        <w:rPr>
          <w:b/>
        </w:rPr>
      </w:pPr>
    </w:p>
    <w:p w:rsidR="00E1475A" w:rsidRPr="00EA12BD" w:rsidRDefault="00E1475A" w:rsidP="00E1475A">
      <w:pPr>
        <w:spacing w:line="480" w:lineRule="auto"/>
        <w:ind w:firstLine="720"/>
        <w:jc w:val="both"/>
      </w:pPr>
      <w:r>
        <w:t>Any</w:t>
      </w:r>
      <w:r w:rsidRPr="00EA12BD">
        <w:t xml:space="preserve"> rate cap adjustment regulation would need to incorporate the following standards to have any chance of accomplishing the goal of reducing site commissions to reduce costs to consumers:  (1) a clear, broad definition of “site commissions</w:t>
      </w:r>
      <w:r w:rsidRPr="00662A4C">
        <w:t>”; (2) a commission benchmark that is higher than the additive rate set forth in the PSO; and (3) caps</w:t>
      </w:r>
      <w:r w:rsidRPr="00EA12BD">
        <w:t xml:space="preserve"> that apply to all fees, whether directly charged by the ITS provider or charged through a third party that accepts payments on behalf of the ITS provider through a separate contract.  </w:t>
      </w:r>
    </w:p>
    <w:p w:rsidR="00E1475A" w:rsidRPr="00E60171" w:rsidRDefault="00E1475A" w:rsidP="00E60171">
      <w:pPr>
        <w:pStyle w:val="Heading4"/>
      </w:pPr>
      <w:r w:rsidRPr="00E60171">
        <w:t>Rate cap adjustments based on commissions must incorporate a clear, broad definition of “site commissions.”</w:t>
      </w:r>
    </w:p>
    <w:p w:rsidR="00E1475A" w:rsidRPr="00EA12BD" w:rsidRDefault="00E1475A" w:rsidP="00E1475A">
      <w:pPr>
        <w:pStyle w:val="ListParagraph"/>
        <w:ind w:left="0" w:firstLine="720"/>
        <w:jc w:val="both"/>
        <w:rPr>
          <w:b/>
        </w:rPr>
      </w:pPr>
    </w:p>
    <w:p w:rsidR="00E1475A" w:rsidRPr="00EA12BD" w:rsidRDefault="00E1475A" w:rsidP="00E1475A">
      <w:pPr>
        <w:spacing w:line="480" w:lineRule="auto"/>
        <w:ind w:firstLine="720"/>
        <w:jc w:val="both"/>
      </w:pPr>
      <w:r w:rsidRPr="00EA12BD">
        <w:t xml:space="preserve">As a threshold issue, an automatic rate cap adjustment mechanism driven by commissions must have a definition of “site commissions” (also referred to as “commissions”).  The difficulty with regulating commissions, whether directly or indirectly, lies in the inherent amorphous nature of commissions.  </w:t>
      </w:r>
    </w:p>
    <w:p w:rsidR="00E1475A" w:rsidRPr="00EA12BD" w:rsidRDefault="00E1475A" w:rsidP="00E1475A">
      <w:pPr>
        <w:spacing w:line="480" w:lineRule="auto"/>
        <w:ind w:firstLine="720"/>
        <w:jc w:val="both"/>
      </w:pPr>
      <w:r w:rsidRPr="00EA12BD">
        <w:t>If commissions are defined too narrowly</w:t>
      </w:r>
      <w:r>
        <w:t xml:space="preserve"> to include only</w:t>
      </w:r>
      <w:r w:rsidRPr="00EA12BD">
        <w:t xml:space="preserve"> monetary payments, ITS providers will easily circumvent the intention of the rate cap adjustment by providing non-monetary products and services</w:t>
      </w:r>
      <w:r>
        <w:t xml:space="preserve"> unnecessary to providing safe and secure ITS services</w:t>
      </w:r>
      <w:r w:rsidRPr="00EA12BD">
        <w:t>, such as</w:t>
      </w:r>
      <w:r>
        <w:t xml:space="preserve"> location-based services, voice biometrics, video visitation systems, or even police cars</w:t>
      </w:r>
      <w:r w:rsidRPr="00EA12BD">
        <w:t xml:space="preserve">. </w:t>
      </w:r>
      <w:r>
        <w:t xml:space="preserve"> In </w:t>
      </w:r>
      <w:r>
        <w:lastRenderedPageBreak/>
        <w:t xml:space="preserve">addition to erroneously excluding non-monetary products and services unnecessary to the provision of ITS services, such a narrow definition would erroneously include monetary payments that relate to services necessary to the provision of ITS services, such as payments </w:t>
      </w:r>
      <w:r w:rsidRPr="00EA12BD">
        <w:t>made to compensate the facility for</w:t>
      </w:r>
      <w:r>
        <w:t xml:space="preserve"> performing</w:t>
      </w:r>
      <w:r w:rsidRPr="00EA12BD">
        <w:t xml:space="preserve"> services that </w:t>
      </w:r>
      <w:r>
        <w:t xml:space="preserve">otherwise </w:t>
      </w:r>
      <w:r w:rsidRPr="00EA12BD">
        <w:t>would have be</w:t>
      </w:r>
      <w:r>
        <w:t>en incurred by the ITS provider,</w:t>
      </w:r>
      <w:r w:rsidRPr="00EA12BD">
        <w:t xml:space="preserve"> but which </w:t>
      </w:r>
      <w:r>
        <w:t>are performed</w:t>
      </w:r>
      <w:r w:rsidRPr="00EA12BD">
        <w:t xml:space="preserve"> by the facility out of convenience.  One such example is the “service liaison” program that Paytel utilizes, whereby they offer to pay facilities a set dollar amount per phone or per inmate monthly or yearly for the facility to maintain the phones.  Phone maintenance is a bona fide ITS expense that has always been recoverable in rates, regardless if it is performed by the ITS provider, a subcontractor, or the facility through a “service liaison.”  Even so, if the PSC attempts to carve out an exception for payments to facilities for “service liaisons”, then undoubtedly, this exception will be exploited to circumvent the commission benchmark.</w:t>
      </w:r>
    </w:p>
    <w:p w:rsidR="00E1475A" w:rsidRPr="00EA12BD" w:rsidRDefault="00E1475A" w:rsidP="00E1475A">
      <w:pPr>
        <w:spacing w:line="480" w:lineRule="auto"/>
        <w:ind w:firstLine="720"/>
        <w:jc w:val="both"/>
      </w:pPr>
      <w:r w:rsidRPr="00EA12BD">
        <w:t xml:space="preserve">During its rulemaking proceeding to establish ITS rate caps, in recognition that commissions could take any form, and any exceptions to the definition could be exploited, the FCC defined commissions broadly: </w:t>
      </w:r>
    </w:p>
    <w:p w:rsidR="00E1475A" w:rsidRPr="00EA12BD" w:rsidRDefault="00E1475A" w:rsidP="00E1475A">
      <w:pPr>
        <w:spacing w:after="240"/>
        <w:ind w:left="720" w:right="720"/>
        <w:jc w:val="both"/>
      </w:pPr>
      <w:r w:rsidRPr="00EA12BD">
        <w:t xml:space="preserve">t. </w:t>
      </w:r>
      <w:r w:rsidRPr="00EA12BD">
        <w:rPr>
          <w:i/>
        </w:rPr>
        <w:t xml:space="preserve">Site Commission </w:t>
      </w:r>
      <w:r w:rsidRPr="00EA12BD">
        <w:t>means any form of monetary payment, in-kind payment, gift, exchange of services or goods, fee, technology allowance, or product that a Provider of Inmate Calling Services or affiliate of an [</w:t>
      </w:r>
      <w:r w:rsidRPr="00EA12BD">
        <w:rPr>
          <w:i/>
        </w:rPr>
        <w:t>sic</w:t>
      </w:r>
      <w:r w:rsidRPr="00EA12BD">
        <w:t>]</w:t>
      </w:r>
      <w:r w:rsidRPr="00EA12BD">
        <w:rPr>
          <w:i/>
        </w:rPr>
        <w:t xml:space="preserve"> </w:t>
      </w:r>
      <w:r w:rsidRPr="00EA12BD">
        <w:t>Provider of Inmate Calling Services may pay, give, donate, or otherwise provide to an entity that operates a correctional institution, an entity with which the Provider of Inmate Calling Services enters into an agreement to provide ICS, a governmental agency that oversees a correctional facility, the city, county, or state where a facility is located, or an agent of any such facility.</w:t>
      </w:r>
    </w:p>
    <w:p w:rsidR="00E1475A" w:rsidRPr="00EA12BD" w:rsidRDefault="00E1475A" w:rsidP="00E1475A">
      <w:pPr>
        <w:spacing w:line="480" w:lineRule="auto"/>
        <w:jc w:val="both"/>
        <w:rPr>
          <w:b/>
        </w:rPr>
      </w:pPr>
      <w:r w:rsidRPr="00EA12BD">
        <w:t xml:space="preserve">47 C.F.R. 64.6000(t) (2015). Under the FCC’s definition, site commissions are not limited to cost recovery payments or gratuitous transfers.  Commissions are all encompassing and include every cost incurred to provide ITS service.  For example, the cabling and wiring that is necessary for the ITS is a site commission because the ITS provider pays for the installment and </w:t>
      </w:r>
      <w:r w:rsidRPr="00EA12BD">
        <w:lastRenderedPageBreak/>
        <w:t>replacement of the cabling and wiring, which is a considerable cost of installing at new facilities or installing new technologies that require upgraded cabling.  The facility retains the cabling and all the related benefits of it whether the ITS provider who installed it continues to provide service or a different ITS provider is utilized.  Thus, the very cabling required to provide ITS calls is a site commission.</w:t>
      </w:r>
    </w:p>
    <w:p w:rsidR="00E1475A" w:rsidRPr="00EA12BD" w:rsidRDefault="00E1475A" w:rsidP="00E1475A">
      <w:pPr>
        <w:spacing w:line="480" w:lineRule="auto"/>
        <w:ind w:firstLine="720"/>
        <w:jc w:val="both"/>
      </w:pPr>
      <w:r w:rsidRPr="00EA12BD">
        <w:t xml:space="preserve">The PSC has not yet defined “commissions” for the purposes of Georgia regulations.  Although the PSC did not define commissions, it acknowledged some costs historically paid in the form of traditional monetary payments of commissions are used and useful, and therefore recoverable for the purposes of establishing ITS rate caps.  PSO, at 1-3.  The PSO lists several tasks that can have costs recovered through rates, including but not limited to “voice Biometric enrollment.”  PSO, at 2.  This list of recoverable costs is insufficient to define commissions.  For example, while the PSO recognizes that the act of voice biometric enrollment is a cost suitable for reimbursement to the facility, the PSO failed to recognize that the voice biometric technology itself is also a commission, as it is a premium, optional technology that is unnecessary for the basic inmate telephone system.  Tr., at 167, lines 17-21 (Securus’ Mr. Lozich testifying, “[Voice biometric] is a technology that can be requested.  It’s an option that’s available if the customer wants to get it and pay for it.”).  </w:t>
      </w:r>
    </w:p>
    <w:p w:rsidR="00E1475A" w:rsidRPr="00EA12BD" w:rsidRDefault="00E1475A" w:rsidP="00E1475A">
      <w:pPr>
        <w:spacing w:line="480" w:lineRule="auto"/>
        <w:ind w:firstLine="720"/>
        <w:jc w:val="both"/>
      </w:pPr>
      <w:r w:rsidRPr="00EA12BD">
        <w:t xml:space="preserve">The PSC appears to have attributed a recoverable value to commissions prior to defining them, as set forth in the PSO by stating the ITS rate caps were increased by $0.05 to $0.09 per minute to reflect the used and useful amount of commissions. PSO, at 1-2.  This low amount suggests that the PSC intended to limit monetary payment forms of site commissions, as it would be far too low of an amount to include everything that is actually a site commission, as defined by the FCC.  But, limiting the definition of commissions to a monetary payment would render </w:t>
      </w:r>
      <w:r w:rsidRPr="00EA12BD">
        <w:lastRenderedPageBreak/>
        <w:t>the regulation wholly ineffective since ITS providers could simply provide the maximum monetary commissions, as well as additional technology or any other non-monetary compensation, such as police cars.</w:t>
      </w:r>
    </w:p>
    <w:p w:rsidR="00E1475A" w:rsidRPr="00EA12BD" w:rsidRDefault="00E1475A" w:rsidP="00E1475A">
      <w:pPr>
        <w:spacing w:line="480" w:lineRule="auto"/>
        <w:ind w:firstLine="720"/>
        <w:jc w:val="both"/>
      </w:pPr>
      <w:r w:rsidRPr="00EA12BD">
        <w:t>Because any narrow, specific definition of site commissions could be circumvented, only a broad, all-encompassing definition, similar to 47 C.F.R. 64.6000(t), will have any chance of a meaningful impact on the rate cap adjustment.</w:t>
      </w:r>
    </w:p>
    <w:p w:rsidR="00E1475A" w:rsidRPr="00537A08" w:rsidRDefault="00E1475A" w:rsidP="00E1475A">
      <w:pPr>
        <w:ind w:left="720"/>
        <w:jc w:val="both"/>
        <w:rPr>
          <w:b/>
        </w:rPr>
      </w:pPr>
    </w:p>
    <w:p w:rsidR="00E1475A" w:rsidRDefault="00E1475A" w:rsidP="00E60171">
      <w:pPr>
        <w:pStyle w:val="Heading4"/>
      </w:pPr>
      <w:r w:rsidRPr="00537A08">
        <w:t xml:space="preserve">Unless a cap is </w:t>
      </w:r>
      <w:r>
        <w:t>applied to</w:t>
      </w:r>
      <w:r w:rsidRPr="00537A08">
        <w:t xml:space="preserve"> all fees, I</w:t>
      </w:r>
      <w:r>
        <w:t>TS providers will</w:t>
      </w:r>
      <w:r w:rsidRPr="00537A08">
        <w:t xml:space="preserve"> offset the rate cap adjustment</w:t>
      </w:r>
      <w:r>
        <w:t xml:space="preserve"> with high fees, thereby rendering any rate reform ineffective at reducing costs to consumers</w:t>
      </w:r>
      <w:r w:rsidRPr="00537A08">
        <w:t>.</w:t>
      </w:r>
    </w:p>
    <w:p w:rsidR="00E1475A" w:rsidRDefault="00E1475A" w:rsidP="00E1475A">
      <w:pPr>
        <w:pStyle w:val="ListParagraph"/>
        <w:ind w:left="1080"/>
        <w:jc w:val="both"/>
        <w:rPr>
          <w:b/>
        </w:rPr>
      </w:pPr>
    </w:p>
    <w:p w:rsidR="00E1475A" w:rsidRPr="00C46A9D" w:rsidRDefault="00E1475A" w:rsidP="00E1475A">
      <w:pPr>
        <w:pStyle w:val="ListParagraph"/>
        <w:spacing w:line="480" w:lineRule="auto"/>
        <w:ind w:left="0" w:firstLine="720"/>
        <w:jc w:val="both"/>
      </w:pPr>
      <w:r w:rsidRPr="00425BC8">
        <w:t xml:space="preserve">An automatic rate cap reduction for commissions deemed excessive will have little to no effect on costs to consumers unless and until the PSC puts caps on all fees, whether they are charged directly by the ITS provider or by a third party pursuant to an agreement between the ITS provider and the third party.  Unless all fees are capped, ITS providers will shift the lost revenue from a reduced rate cap to high fees, so as to subsidize high commissions.  Tr., p. 126, lines 13-15.  Paytel’s suggestion to educate sheriffs and other County staff about the impact of fees on consumer costs and commissions is ineffective at reducing fees.  ICSolutions already attempts to educate sheriffs and other County staff about the impact of the design of rates and fees on the limited consumer funds.  </w:t>
      </w:r>
      <w:r w:rsidRPr="00425BC8">
        <w:rPr>
          <w:i/>
        </w:rPr>
        <w:t xml:space="preserve">See </w:t>
      </w:r>
      <w:r w:rsidRPr="00425BC8">
        <w:t xml:space="preserve">Tr., p. 68, lines 1-12.  It should come as no surprise to anyone that many sheriffs and other decisionmakers are much more interested in learning how the ITS services can help them perform their job, that being to provide effective and efficient safe and secure incarceration, and less interested in becoming experts at ITS rate design and all the tricks and loopholes that ITS providers use to increase revenue.  </w:t>
      </w:r>
      <w:r w:rsidRPr="00425BC8">
        <w:rPr>
          <w:i/>
        </w:rPr>
        <w:t xml:space="preserve">See </w:t>
      </w:r>
      <w:r w:rsidRPr="00425BC8">
        <w:t xml:space="preserve">Tr., p. 68, lines 22-25; p. 69, lines 1-5.  </w:t>
      </w:r>
      <w:r w:rsidRPr="00C46A9D">
        <w:t xml:space="preserve">The bottom line is that corrections facilities strive to be experts at catching criminal activity, not at policing ITS providers to have just and reasonable charges.  </w:t>
      </w:r>
    </w:p>
    <w:p w:rsidR="00E1475A" w:rsidRPr="00425BC8" w:rsidRDefault="00E1475A" w:rsidP="00E1475A">
      <w:pPr>
        <w:pStyle w:val="ListParagraph"/>
        <w:spacing w:line="480" w:lineRule="auto"/>
        <w:ind w:left="0" w:firstLine="720"/>
        <w:jc w:val="both"/>
      </w:pPr>
      <w:r w:rsidRPr="00425BC8">
        <w:lastRenderedPageBreak/>
        <w:t>The PSO’s adoption of the FCC’s fee caps, as set forth in 47 C.F.R. § 64.6020, permits fees charged by third parties to be passed through to the consumer</w:t>
      </w:r>
      <w:r w:rsidR="00031D1C">
        <w:t>, thereby creating a loophole to circumvent fee caps</w:t>
      </w:r>
      <w:r w:rsidRPr="00425BC8">
        <w:t xml:space="preserve">.  </w:t>
      </w:r>
      <w:r w:rsidR="00031D1C">
        <w:t xml:space="preserve">47 C.F.R. </w:t>
      </w:r>
      <w:r w:rsidRPr="00425BC8">
        <w:t>§ 64.6020(b)</w:t>
      </w:r>
      <w:r w:rsidR="0069015C">
        <w:t xml:space="preserve">(2), </w:t>
      </w:r>
      <w:r w:rsidRPr="00425BC8">
        <w:t>(5).</w:t>
      </w:r>
      <w:r w:rsidR="0069015C">
        <w:t xml:space="preserve"> </w:t>
      </w:r>
      <w:r w:rsidRPr="00425BC8">
        <w:t xml:space="preserve"> While the rule has a prohibition against “markup” on the third party transaction fees, the term “markup” is not defined and easily circumvented.  For example, ITS providers can agree to use the third party exclusively in exchange for a set amount per call, which has the effect of a markup without expressly being a prohibited “markup”.</w:t>
      </w:r>
    </w:p>
    <w:p w:rsidR="00E1475A" w:rsidRPr="00425BC8" w:rsidRDefault="00E1475A" w:rsidP="00E1475A">
      <w:pPr>
        <w:pStyle w:val="ListParagraph"/>
        <w:spacing w:line="480" w:lineRule="auto"/>
        <w:ind w:left="0" w:firstLine="720"/>
        <w:jc w:val="both"/>
      </w:pPr>
      <w:r w:rsidRPr="00425BC8">
        <w:t xml:space="preserve">Just as the PSC has no jurisdiction over ITS providers’ revenue-sharing agreements with facilities, it has no jurisdiction over an ITS providers’ revenue-sharing agreements with third parties who may charge ITS consumers for ancillary services, such as funding accounts.  But, even if the PSC had jurisdiction to regulate such revenue-sharing agreements, it would likely be a pointless endeavor.  Rather, the only way to control costs to consumers is through the end charges to consumers, and that end user charge - regardless whether that charge comes in the form of a </w:t>
      </w:r>
      <w:r>
        <w:t xml:space="preserve">calling </w:t>
      </w:r>
      <w:r w:rsidRPr="00425BC8">
        <w:t>rate or a</w:t>
      </w:r>
      <w:r>
        <w:t xml:space="preserve"> service</w:t>
      </w:r>
      <w:r w:rsidRPr="00425BC8">
        <w:t xml:space="preserve"> fee.  </w:t>
      </w:r>
    </w:p>
    <w:p w:rsidR="00E1475A" w:rsidRPr="00425BC8" w:rsidRDefault="00E1475A" w:rsidP="00E1475A">
      <w:pPr>
        <w:pStyle w:val="ListParagraph"/>
        <w:spacing w:line="480" w:lineRule="auto"/>
        <w:ind w:left="0" w:firstLine="720"/>
        <w:jc w:val="both"/>
      </w:pPr>
      <w:r w:rsidRPr="00425BC8">
        <w:t xml:space="preserve">ITS providers often argue that funding fees are outside of the jurisdiction of public service commissions, but the PSC has jurisdiction over all fees, whether they are charged by third parties or ITS providers directly. The enabling statute of the PSC does not limit its jurisdiction to per-minute rates: “The commission shall have exclusive power to determine what are just and reasonable rates </w:t>
      </w:r>
      <w:r w:rsidRPr="00425BC8">
        <w:rPr>
          <w:b/>
          <w:u w:val="single"/>
        </w:rPr>
        <w:t>and charges</w:t>
      </w:r>
      <w:r w:rsidRPr="00425BC8">
        <w:t xml:space="preserve"> to be made by any person, firm, or corporation subject to it</w:t>
      </w:r>
      <w:r>
        <w:t>s</w:t>
      </w:r>
      <w:r w:rsidRPr="00425BC8">
        <w:t xml:space="preserve"> jurisdiction.” Ga. Code Ann. § 46-2-23(a) (emphasis added).  Thus, if ITS consumers are charged in any way to make an ITS call, then the charges are under the jurisdiction of the PSC, regardless of whether it is cloaked as the per-minute rate, or an arbitrary add-on fee initially accepted by a third party.  Unless the ITS calls are going to be provided at no charge, then the </w:t>
      </w:r>
      <w:r w:rsidRPr="00425BC8">
        <w:lastRenderedPageBreak/>
        <w:t xml:space="preserve">process of paying for ITS calls is a necessary function to provide ITS service and, thus, a cost of service.  </w:t>
      </w:r>
    </w:p>
    <w:p w:rsidR="00E1475A" w:rsidRPr="00425BC8" w:rsidRDefault="00E1475A" w:rsidP="00E1475A">
      <w:pPr>
        <w:pStyle w:val="ListParagraph"/>
        <w:spacing w:line="480" w:lineRule="auto"/>
        <w:ind w:left="0" w:firstLine="720"/>
        <w:jc w:val="both"/>
      </w:pPr>
      <w:r w:rsidRPr="00425BC8">
        <w:t>Like any other cost of service, the PSC has the authority and the ultimate responsibility to consider the reasonableness of the cost of service to process payments.  The current FCC fee caps in 47 C.F.R. § 64.6020(b)(1) of $3.00 for automated payment fees (internet and interactive voice response systems via the phone) and § 64.6020(3) of $5.95 for funding through a live agent include the costs incurred by the ITS provider to accept and process such transactions, including but not limited to the transaction fees charged by credit card companies.  Even before the FCC’s rule, the Alabama P</w:t>
      </w:r>
      <w:r w:rsidR="00FF7DAF">
        <w:t xml:space="preserve">ublic Service Commission </w:t>
      </w:r>
      <w:r w:rsidRPr="00425BC8">
        <w:t xml:space="preserve">imposed these same fee caps on </w:t>
      </w:r>
      <w:r w:rsidRPr="00425BC8">
        <w:rPr>
          <w:u w:val="single"/>
        </w:rPr>
        <w:t>all transactions</w:t>
      </w:r>
      <w:r w:rsidRPr="00425BC8">
        <w:t xml:space="preserve">, </w:t>
      </w:r>
      <w:r w:rsidR="00526C14">
        <w:t>regardless if the billing occurred directly by the ITS provider or by a third party.</w:t>
      </w:r>
      <w:r w:rsidR="00384777">
        <w:rPr>
          <w:rStyle w:val="FootnoteReference"/>
        </w:rPr>
        <w:footnoteReference w:id="21"/>
      </w:r>
      <w:r w:rsidR="00384777">
        <w:t xml:space="preserve"> </w:t>
      </w:r>
      <w:r w:rsidR="00526C14">
        <w:t>Securus and Global Tel*Link initially appealed the ord</w:t>
      </w:r>
      <w:r w:rsidR="00FF7DAF">
        <w:t>er, arguing that the Alabama Public Service Commission</w:t>
      </w:r>
      <w:r w:rsidR="00526C14">
        <w:t xml:space="preserve"> did not have the authority to interfere with third party contracts, but all appeals were voluntarily dismissed,</w:t>
      </w:r>
      <w:r w:rsidR="00384777">
        <w:rPr>
          <w:rStyle w:val="FootnoteReference"/>
        </w:rPr>
        <w:footnoteReference w:id="22"/>
      </w:r>
      <w:r w:rsidR="00526C14">
        <w:t xml:space="preserve"> and </w:t>
      </w:r>
      <w:r w:rsidRPr="00425BC8">
        <w:t xml:space="preserve">ITS providers have been able to comply </w:t>
      </w:r>
      <w:r w:rsidR="00526C14">
        <w:t xml:space="preserve">with the hard fee caps </w:t>
      </w:r>
      <w:r w:rsidRPr="00425BC8">
        <w:t xml:space="preserve">without reducing services. </w:t>
      </w:r>
      <w:r w:rsidR="00526C14">
        <w:t xml:space="preserve"> </w:t>
      </w:r>
      <w:r w:rsidRPr="00425BC8">
        <w:t>ICSolutions submits the PSC should follow the same approach as Alabama</w:t>
      </w:r>
      <w:r w:rsidR="00FF7DAF">
        <w:t xml:space="preserve"> Public Service Commission</w:t>
      </w:r>
      <w:r w:rsidRPr="00425BC8">
        <w:t xml:space="preserve"> and set consistent and firm hard caps on all fees.</w:t>
      </w:r>
    </w:p>
    <w:p w:rsidR="00E1475A" w:rsidRDefault="00E1475A" w:rsidP="00E1475A">
      <w:pPr>
        <w:pStyle w:val="ListParagraph"/>
        <w:spacing w:line="480" w:lineRule="auto"/>
        <w:ind w:left="0" w:firstLine="720"/>
        <w:jc w:val="both"/>
      </w:pPr>
      <w:r w:rsidRPr="00425BC8">
        <w:t xml:space="preserve">The failure to apply fee caps to all fees allows calls to be charged at $14.99, or possibly more, which is likely to happen more frequently if the PSC imposes an automatic rate cap adjustment.  Some ITS providers may argue against such fee caps.  Those ITS providers are </w:t>
      </w:r>
      <w:r w:rsidRPr="00425BC8">
        <w:lastRenderedPageBreak/>
        <w:t xml:space="preserve">likely receiving a portion of the revenue from those pass-through transactions, which is the “markup” effect the FCC intended to prohibit.  The revenue-sharing may occur in virtually limitless ways to avoid the “markup” prohibition. For example, the ITS provider may include an exclusivity clause in its agreement with the third party, whereby the ITS provider receives </w:t>
      </w:r>
      <w:r>
        <w:t>an</w:t>
      </w:r>
      <w:r w:rsidRPr="00425BC8">
        <w:t xml:space="preserve"> amount per transaction to exclusively use the third party.  </w:t>
      </w:r>
      <w:r w:rsidR="00C407FF">
        <w:t>Or, the owner of the ITS provider can own equity in the third party billing company</w:t>
      </w:r>
      <w:r w:rsidR="00E43786">
        <w:t xml:space="preserve">, so the ITS provider may benefit from the high fees charged.  </w:t>
      </w:r>
      <w:r w:rsidRPr="00425BC8">
        <w:t>A</w:t>
      </w:r>
      <w:r w:rsidR="00E43786">
        <w:t xml:space="preserve">nother exploitation of the loophole could be that </w:t>
      </w:r>
      <w:r w:rsidRPr="00425BC8">
        <w:t>the fee-sharing arrangement occur</w:t>
      </w:r>
      <w:r w:rsidR="00E43786">
        <w:t>s</w:t>
      </w:r>
      <w:r w:rsidRPr="00425BC8">
        <w:t xml:space="preserve"> as part of a complex entanglement of contracts for services and use of technology.  For example, an ITS provider may own the patent for the technology used by the third party and have an arrangement where the third party has to pay a licensing fee to the ITS provider.  This latter example may actually occur today, as Securus owns the patent for the technology used by 3CI, a “third party” that provides Pay Now™ calls for Securus, which are billed at $14.99 per call.  Tr., p. 110, lines 1-14.  Thus, while it is highly questionable whether 3CI qualifies as a “third party” for the purposes of whether the </w:t>
      </w:r>
      <w:r w:rsidR="00E43786">
        <w:t>ITS provider’s</w:t>
      </w:r>
      <w:r w:rsidRPr="00425BC8">
        <w:t xml:space="preserve"> fee caps should apply, these $14.99 calls continue today, with no enforcement actions by the FCC on the horizon to stop them. Tr., p. 110, lines 12-13.  </w:t>
      </w:r>
    </w:p>
    <w:p w:rsidR="00E43786" w:rsidRPr="00425BC8" w:rsidRDefault="00E43786" w:rsidP="00E1475A">
      <w:pPr>
        <w:pStyle w:val="ListParagraph"/>
        <w:spacing w:line="480" w:lineRule="auto"/>
        <w:ind w:left="0" w:firstLine="720"/>
        <w:jc w:val="both"/>
      </w:pPr>
      <w:r w:rsidRPr="00425BC8">
        <w:t>Notably, $13.19 of the $14.99 per call charge</w:t>
      </w:r>
      <w:r>
        <w:t xml:space="preserve"> from 3CI’s PayNow™ transactions are</w:t>
      </w:r>
      <w:r w:rsidRPr="00425BC8">
        <w:t xml:space="preserve"> attributable to a non-commissionable fee not clearly subject to any rate caps or fee caps.  </w:t>
      </w:r>
      <w:r>
        <w:t xml:space="preserve">Testimony of Mike Kennedy for ICSolutions, Q&amp;A No. 23, p. 10, lines 7 - 19 (Oct. 10, 2017).  These fees increase costs to consumers, while also reducing commissionable revenue and resulting commissions available for facilities.  </w:t>
      </w:r>
      <w:r>
        <w:t>It is exactly these types of predatory charges that regulators should stop.</w:t>
      </w:r>
    </w:p>
    <w:p w:rsidR="00E1475A" w:rsidRDefault="00E1475A" w:rsidP="00E1475A">
      <w:pPr>
        <w:pStyle w:val="ListParagraph"/>
        <w:spacing w:line="480" w:lineRule="auto"/>
        <w:ind w:left="0" w:firstLine="720"/>
        <w:jc w:val="both"/>
      </w:pPr>
      <w:r w:rsidRPr="00425BC8">
        <w:lastRenderedPageBreak/>
        <w:t xml:space="preserve">When some fees are largely unregulated, an ITS provider can pay 100% commissions, even with an automatic rate adjustment mechanism, because it can cover the costs of service and receive a reasonable rate of return through fees alone. Thus, if the PSC imposes the automatic rate cap adjustment mechanism but does not extend the fee caps to all fees, high funding fees will likely increase in occurrence in Georgia under the pass-through loophole </w:t>
      </w:r>
      <w:r>
        <w:t>that exists</w:t>
      </w:r>
      <w:r w:rsidRPr="00425BC8">
        <w:t xml:space="preserve"> for “third parties” in § 64.6020(b)(5) that was adopted by reference to the FCC’s fee caps in the PSO.  </w:t>
      </w:r>
      <w:r>
        <w:t>PSO, at 4 (“The FCC did approve a limited number of ancillary fees and corresponding caps, and the Commission adopts those here.”).  Thus, while the PSC may have intended to cap all fees, it is likely that ITS providers will interpret the PSO as adopting all aspects of the FCC’s rules for fee caps, including the loophole.</w:t>
      </w:r>
    </w:p>
    <w:p w:rsidR="00E1475A" w:rsidRPr="00425BC8" w:rsidRDefault="00E1475A" w:rsidP="00E1475A">
      <w:pPr>
        <w:pStyle w:val="ListParagraph"/>
        <w:spacing w:line="480" w:lineRule="auto"/>
        <w:ind w:left="0" w:firstLine="720"/>
        <w:jc w:val="both"/>
      </w:pPr>
      <w:r w:rsidRPr="00425BC8">
        <w:t xml:space="preserve">If history is any indication, some ITS providers will strongly oppose the PSC’s expansion of the fee caps to all fees arguing, </w:t>
      </w:r>
      <w:r w:rsidRPr="00425BC8">
        <w:rPr>
          <w:i/>
        </w:rPr>
        <w:t>inter alia</w:t>
      </w:r>
      <w:r w:rsidRPr="00425BC8">
        <w:t xml:space="preserve">, the $3.00 and $5.95 fee caps are below the cost of service and, thus, confiscatory.  To address these concerns, ICSolutions recommends the PSC adopt a fee cap applicable to all fees and include a process whereby ITS providers can submit a request for PSC approval to increase the cap on specifically approved third party fees.  As part of the request, the PSC should consider requiring the ITS provider to demonstrate why the third party costs are higher so the PSC can adequately determine whether such higher costs are just and reasonable, including but not limited to submitting all contracts between the ITS provider and the third party for review for prudency and reasonableness of costs.  In addition, the PSC should consider requiring the ITS provider </w:t>
      </w:r>
      <w:r>
        <w:t xml:space="preserve">to </w:t>
      </w:r>
      <w:r w:rsidRPr="00425BC8">
        <w:t xml:space="preserve">either (1) certify that they are receiving no compensation in any form, directly or indirectly, from the fee portion of the transaction, or (2) disclose all compensation that the ITS provider receives directly or indirectly as a result of the “third party” fee.  This latter requirement is necessary because it is possible that a shell company </w:t>
      </w:r>
      <w:r w:rsidRPr="00425BC8">
        <w:lastRenderedPageBreak/>
        <w:t xml:space="preserve">could be created to facilitate revenue-sharing arrangements without having to disclose the related contracts. </w:t>
      </w:r>
    </w:p>
    <w:p w:rsidR="00E1475A" w:rsidRDefault="00E1475A" w:rsidP="001747F5">
      <w:pPr>
        <w:pStyle w:val="Heading3"/>
        <w:keepNext/>
        <w:keepLines/>
      </w:pPr>
      <w:bookmarkStart w:id="8" w:name="_Toc504050852"/>
      <w:r>
        <w:t>The automatic rate cap adjustment must comply with traditional ratemaking principles, such as the requirement for just and reasonable rates and the prohibition against retroactive ratemaking.</w:t>
      </w:r>
      <w:bookmarkEnd w:id="8"/>
    </w:p>
    <w:p w:rsidR="00E1475A" w:rsidRDefault="00E1475A" w:rsidP="00E1475A">
      <w:pPr>
        <w:jc w:val="both"/>
        <w:rPr>
          <w:b/>
        </w:rPr>
      </w:pPr>
    </w:p>
    <w:p w:rsidR="00E1475A" w:rsidRPr="002D5B8D" w:rsidRDefault="00E1475A" w:rsidP="00E1475A">
      <w:pPr>
        <w:pStyle w:val="ListParagraph"/>
        <w:spacing w:line="480" w:lineRule="auto"/>
        <w:ind w:left="0" w:firstLine="720"/>
        <w:jc w:val="both"/>
      </w:pPr>
      <w:r w:rsidRPr="002D5B8D">
        <w:t xml:space="preserve">While the concept of an automatic rate cap adjustment is new to the ITS industry, such rate reform will still be subject to traditional ratemaking principles, thus curtailing the breadth of its applicability. </w:t>
      </w:r>
    </w:p>
    <w:p w:rsidR="00E1475A" w:rsidRDefault="00E1475A" w:rsidP="00526C14">
      <w:pPr>
        <w:pStyle w:val="Heading4"/>
        <w:keepNext/>
        <w:keepLines/>
        <w:numPr>
          <w:ilvl w:val="0"/>
          <w:numId w:val="14"/>
        </w:numPr>
      </w:pPr>
      <w:r w:rsidRPr="00537A08">
        <w:t xml:space="preserve">With a broad definition of “site commissions”, a higher benchmark for such </w:t>
      </w:r>
      <w:r>
        <w:t>commission</w:t>
      </w:r>
      <w:r w:rsidRPr="00537A08">
        <w:t>s</w:t>
      </w:r>
      <w:r>
        <w:t xml:space="preserve"> in the rate cap adjustment mechanism</w:t>
      </w:r>
      <w:r w:rsidRPr="00537A08">
        <w:t xml:space="preserve"> is necessary</w:t>
      </w:r>
      <w:r>
        <w:t xml:space="preserve"> to ensure just and reasonable rates</w:t>
      </w:r>
      <w:r w:rsidRPr="00537A08">
        <w:t>.</w:t>
      </w:r>
    </w:p>
    <w:p w:rsidR="00526C14" w:rsidRPr="00526C14" w:rsidRDefault="00526C14" w:rsidP="00526C14"/>
    <w:p w:rsidR="00E1475A" w:rsidRDefault="00E1475A" w:rsidP="00E1475A">
      <w:pPr>
        <w:pStyle w:val="ListParagraph"/>
        <w:spacing w:line="480" w:lineRule="auto"/>
        <w:ind w:left="0" w:firstLine="720"/>
        <w:jc w:val="both"/>
      </w:pPr>
      <w:r w:rsidRPr="00EA12BD">
        <w:t xml:space="preserve">As discussed in </w:t>
      </w:r>
      <w:r>
        <w:t>II.A.</w:t>
      </w:r>
      <w:r w:rsidRPr="00EA12BD">
        <w:t>(1) above, many costs necessary to provide ITS would be considered a site commission under 47 C.F.R. 64.6000(t), including but not limited to the cost of cabling, wiring, workstations, site administrators, service liaisons, voice biometric tools, investigative tools (keyword search, call data analysis), expert testimony to verify the authenticity of call records and recordings, and other premium technology, such as cell detection devices and analysis software, to ensure safe and secure calling.  Essentially, the benchmark for “commissions” would need to include all cost</w:t>
      </w:r>
      <w:r>
        <w:t>s</w:t>
      </w:r>
      <w:r w:rsidRPr="00EA12BD">
        <w:t xml:space="preserve"> of providing ITS to ensure rates are just and reasonable in accordance with State law, and not confiscatory and in violation of the U.S. Constitution.</w:t>
      </w:r>
      <w:r>
        <w:t xml:space="preserve">  </w:t>
      </w:r>
    </w:p>
    <w:p w:rsidR="00E1475A" w:rsidRPr="00EA12BD" w:rsidRDefault="00E1475A" w:rsidP="00E1475A">
      <w:pPr>
        <w:pStyle w:val="ListParagraph"/>
        <w:spacing w:line="480" w:lineRule="auto"/>
        <w:ind w:left="0" w:firstLine="720"/>
        <w:jc w:val="both"/>
        <w:rPr>
          <w:b/>
        </w:rPr>
      </w:pPr>
      <w:r>
        <w:t>It is worth noting that the automatic rate adjustment would actually be no different than the current rate design, that being a cost component plus a reasonable rate of return.  This result begs the question as to why the PSC would undergo so much effort to have essentially the same rate design, especially if there is to be little cost savings passed on to the consumer.</w:t>
      </w:r>
    </w:p>
    <w:p w:rsidR="00E1475A" w:rsidRDefault="00E1475A" w:rsidP="004507EF">
      <w:pPr>
        <w:pStyle w:val="Heading4"/>
      </w:pPr>
      <w:r>
        <w:t xml:space="preserve">Any adjustments to the rate caps based on current year commissions can be applied only on a go-forward basis.  </w:t>
      </w:r>
    </w:p>
    <w:p w:rsidR="004507EF" w:rsidRPr="004507EF" w:rsidRDefault="004507EF" w:rsidP="004507EF"/>
    <w:p w:rsidR="00E1475A" w:rsidRDefault="00E1475A" w:rsidP="00E1475A">
      <w:pPr>
        <w:spacing w:line="480" w:lineRule="auto"/>
        <w:ind w:firstLine="720"/>
        <w:jc w:val="both"/>
      </w:pPr>
      <w:r>
        <w:t xml:space="preserve">The Georgia Supreme Court has been clear on the applicability of rates: </w:t>
      </w:r>
    </w:p>
    <w:p w:rsidR="00E1475A" w:rsidRDefault="00E1475A" w:rsidP="00E1475A">
      <w:pPr>
        <w:ind w:left="720" w:right="810"/>
        <w:jc w:val="both"/>
      </w:pPr>
      <w:r>
        <w:t xml:space="preserve">Like an act of the legislature, a rate is made to operate in the future, and cannot be made to apply retroactively.  Even if the commission, after fixing a rate or charge, subsequently determines the rate was unreasonably high, it has no authority in the revision of the rate to require that refunds or reparations be made of collections under the rate which has been established.  If, after fixing a rate which the commission determines to be just and reasonable, it decides that the rate is unreasonable or unjust, it has the right under the law at any time to revise or amend its rulings or orders but, like legislation in general, these revised orders look to the future, and cannot be applied retroactively.  </w:t>
      </w:r>
    </w:p>
    <w:p w:rsidR="00E1475A" w:rsidRDefault="00E1475A" w:rsidP="00E1475A">
      <w:pPr>
        <w:ind w:left="720" w:right="810"/>
        <w:jc w:val="both"/>
      </w:pPr>
    </w:p>
    <w:p w:rsidR="00E1475A" w:rsidRDefault="00E1475A" w:rsidP="007F171A">
      <w:pPr>
        <w:spacing w:line="480" w:lineRule="auto"/>
        <w:jc w:val="both"/>
      </w:pPr>
      <w:r>
        <w:rPr>
          <w:i/>
        </w:rPr>
        <w:t>Georgia Public Service Comm’n v. Atlanta Gas Light Co.</w:t>
      </w:r>
      <w:r>
        <w:t>, 205 Ga. 863, 883 (1949).  This limitation can be used to work around the rate cap adjustment.</w:t>
      </w:r>
    </w:p>
    <w:p w:rsidR="00E1475A" w:rsidRDefault="00E1475A" w:rsidP="007F171A">
      <w:pPr>
        <w:spacing w:line="480" w:lineRule="auto"/>
        <w:ind w:firstLine="720"/>
        <w:jc w:val="both"/>
      </w:pPr>
      <w:r>
        <w:t xml:space="preserve">Given that contracts often expire or go up for renewal on an annual basis, this limitation on applying the rate adjustment could result in facilities having the incentive to change providers annually in order to obtain the most attractive financial offers.  Historically, incumbents have enjoyed the upper hand financially because they already have their equipment installed.  While it is the ITS provider that often provides the phones currently, there is nothing to suggest that facilities will not start requiring the transfer of ownership of the phones themselves, similar to how cabling is required currently, in an effort to reduce the cost of service to provide ITS equipment, leaving more available for other commissions.  </w:t>
      </w:r>
    </w:p>
    <w:p w:rsidR="00E1475A" w:rsidRDefault="00E1475A" w:rsidP="004507EF">
      <w:pPr>
        <w:pStyle w:val="Heading3"/>
      </w:pPr>
      <w:bookmarkStart w:id="9" w:name="_Toc504050853"/>
      <w:r>
        <w:t>As a practical matter, additional factors should be considered to enable efficient and effective enforcement, such as the overall rate caps and valuation of non-monetary commissions.</w:t>
      </w:r>
      <w:bookmarkEnd w:id="9"/>
      <w:r>
        <w:t xml:space="preserve"> </w:t>
      </w:r>
    </w:p>
    <w:p w:rsidR="00E1475A" w:rsidRDefault="00E1475A" w:rsidP="00E1475A">
      <w:pPr>
        <w:ind w:left="360"/>
        <w:jc w:val="both"/>
        <w:rPr>
          <w:b/>
        </w:rPr>
      </w:pPr>
    </w:p>
    <w:p w:rsidR="00E1475A" w:rsidRPr="0085515A" w:rsidRDefault="00E1475A" w:rsidP="00E1475A">
      <w:pPr>
        <w:spacing w:line="480" w:lineRule="auto"/>
        <w:ind w:firstLine="720"/>
        <w:jc w:val="both"/>
      </w:pPr>
      <w:r w:rsidRPr="0085515A">
        <w:t xml:space="preserve">Oftentimes with new regulations, issues with enforcement usually become apparent only after the regulation becomes effective.  In this case, however, a few likely issues with enforcement are reasonably foreseeable and, therefore, should be considered when developing the regulation. </w:t>
      </w:r>
    </w:p>
    <w:p w:rsidR="00E1475A" w:rsidRPr="0085515A" w:rsidRDefault="00E1475A" w:rsidP="004507EF">
      <w:pPr>
        <w:pStyle w:val="Heading4"/>
        <w:numPr>
          <w:ilvl w:val="0"/>
          <w:numId w:val="15"/>
        </w:numPr>
      </w:pPr>
      <w:r w:rsidRPr="0085515A">
        <w:lastRenderedPageBreak/>
        <w:t>The valuation of non-monetary commissions will be highly complicated, yet critical to effective enforcement.</w:t>
      </w:r>
    </w:p>
    <w:p w:rsidR="00E1475A" w:rsidRPr="0085515A" w:rsidRDefault="00E1475A" w:rsidP="00E1475A">
      <w:pPr>
        <w:ind w:left="720"/>
        <w:jc w:val="both"/>
        <w:rPr>
          <w:b/>
        </w:rPr>
      </w:pPr>
    </w:p>
    <w:p w:rsidR="00E1475A" w:rsidRPr="0085515A" w:rsidRDefault="00E1475A" w:rsidP="00E1475A">
      <w:pPr>
        <w:pStyle w:val="ListParagraph"/>
        <w:spacing w:line="480" w:lineRule="auto"/>
        <w:ind w:left="0" w:firstLine="720"/>
        <w:jc w:val="both"/>
      </w:pPr>
      <w:r w:rsidRPr="0085515A">
        <w:t xml:space="preserve">Perhaps the biggest hurdle to effective and efficient enforcement is the valuation of non-monetary commissions.  Some non-monetary commissions may be easier to value, such as the purchase of cell detection devices, third party voice biometric services, or the cost to install cabling.  Other non-monetary commissions may not have a readily available fair market value or </w:t>
      </w:r>
      <w:r>
        <w:t xml:space="preserve">be </w:t>
      </w:r>
      <w:r w:rsidRPr="0085515A">
        <w:t xml:space="preserve">able to have labor and material costs so easily tracked for the purposes of valuation, such as providing a jail management system.  Or there is a readily available market value, but the ITS provider has developed its own product or service in house and at a lower cost, such an in-house voice biometric product.  It is these non-monetary commissions that will be exploited in order to circumvent the automatic rate cap adjustment.  </w:t>
      </w:r>
    </w:p>
    <w:p w:rsidR="00E1475A" w:rsidRPr="0085515A" w:rsidRDefault="00E1475A" w:rsidP="00E1475A">
      <w:pPr>
        <w:pStyle w:val="ListParagraph"/>
        <w:spacing w:line="480" w:lineRule="auto"/>
        <w:ind w:left="0" w:firstLine="720"/>
        <w:jc w:val="both"/>
      </w:pPr>
      <w:r w:rsidRPr="0085515A">
        <w:t>As the valuation of these non-monetary commissions affect rates, the PSC will need to hold public hearings to ascertain the values.  These hearings will likely be even more complicated than rate cases.  The timing of these hearings is also unclear.  Ideally, the valuation will occur prior to the non-monetary commission being given to the facility so ITS providers can accurately forecast what rate cap will apply and, thus, ensure the rate will be just and reasonable.  But, valuing non-monetary commissions beforehand will prove difficult for products and services that are used in tandem with ITS calls, such as voice biometrics, calling analysis, reverse lookup, call recording and data storage.  And, even if the PSC and ITS providers planned for preliminary valuation hearings, it is likely there will be some non-monetary commission that is provided after the valuation hearing that will need to be incorporated into the rate cap adjustment.</w:t>
      </w:r>
    </w:p>
    <w:p w:rsidR="00E1475A" w:rsidRDefault="00E1475A" w:rsidP="00E1475A">
      <w:pPr>
        <w:pStyle w:val="ListParagraph"/>
        <w:spacing w:line="480" w:lineRule="auto"/>
        <w:ind w:left="0" w:firstLine="720"/>
        <w:jc w:val="both"/>
      </w:pPr>
      <w:r w:rsidRPr="0085515A">
        <w:t xml:space="preserve">It </w:t>
      </w:r>
      <w:r>
        <w:t>also should</w:t>
      </w:r>
      <w:r w:rsidRPr="0085515A">
        <w:t xml:space="preserve"> be noted that the valuation hearings may need to occur often and numerous times for the same product or service.  One of the underlying principles of ratemaking is to </w:t>
      </w:r>
      <w:r w:rsidRPr="0085515A">
        <w:lastRenderedPageBreak/>
        <w:t>encourage regulated entities to increase efficiency and lower their cost of service.  In an attempt to offer more value to the facilities, ITS providers may seek to reduce their cost of service, particularly for those non-monetary commissions.  Thus, the PSC can reasonably expect that valuations of non-monetary commissions will be a moving target and require a lot of resources to effectively regulate.</w:t>
      </w:r>
    </w:p>
    <w:p w:rsidR="00E1475A" w:rsidRPr="004507EF" w:rsidRDefault="00E1475A" w:rsidP="004507EF">
      <w:pPr>
        <w:pStyle w:val="Heading4"/>
        <w:numPr>
          <w:ilvl w:val="0"/>
          <w:numId w:val="15"/>
        </w:numPr>
      </w:pPr>
      <w:r w:rsidRPr="004507EF">
        <w:t>Equal rate caps for all types of calls at a given facility will reduce the complexity of applying an automatic rate adjustment, as well as reduce the risk of manipulation of such different rates to circumvent the rules.</w:t>
      </w:r>
    </w:p>
    <w:p w:rsidR="00E1475A" w:rsidRPr="0085515A" w:rsidRDefault="00E1475A" w:rsidP="00E1475A">
      <w:pPr>
        <w:ind w:left="720"/>
        <w:jc w:val="both"/>
        <w:rPr>
          <w:b/>
        </w:rPr>
      </w:pPr>
    </w:p>
    <w:p w:rsidR="00E1475A" w:rsidRDefault="00E1475A" w:rsidP="00E1475A">
      <w:pPr>
        <w:pStyle w:val="ListParagraph"/>
        <w:spacing w:line="480" w:lineRule="auto"/>
        <w:ind w:left="0" w:firstLine="720"/>
        <w:jc w:val="both"/>
      </w:pPr>
      <w:r w:rsidRPr="0085515A">
        <w:t>The efficiency and effectiveness of enforcing an automatic rate cap adjustment will depend on the transparency of the commissions, as well as the complexity of calculating the rate cap adjustment, both of which will be driven by the overall rate cap and the benchmark.  The PSO established different rate caps for local calls and intrastate calls.  PSO, at 1-2.  The PSO is silent as to why there are different rate caps, but it is reasonable to presume that the PSC has decided that it costs less to provide local calls than intrastate calls.</w:t>
      </w:r>
      <w:r w:rsidRPr="0085515A">
        <w:rPr>
          <w:rStyle w:val="FootnoteReference"/>
        </w:rPr>
        <w:footnoteReference w:id="23"/>
      </w:r>
      <w:r w:rsidRPr="0085515A">
        <w:t xml:space="preserve">  If so, these lower costs would have to be reflected in the benchmark commission, resulting in intrastate calls having a higher benchmark commission than local calls.  Such different rate caps and benchmarks will increase the complexity and reduce the transparency reports that can be used to monitor the rate cap adjustment, which increases the risk of inefficient and ineffective enforcement.  The simplest mechanism would be to have the same rate caps and same benchmark for all types of calls at a facility.  Since all calls are made using the same system and set of facility configurations, there is a basis for making all call types have the same rates.</w:t>
      </w:r>
    </w:p>
    <w:p w:rsidR="00E1475A" w:rsidRPr="0085515A" w:rsidRDefault="00E1475A" w:rsidP="00E1475A">
      <w:pPr>
        <w:pStyle w:val="ListParagraph"/>
        <w:spacing w:line="480" w:lineRule="auto"/>
        <w:ind w:left="0" w:firstLine="720"/>
        <w:jc w:val="both"/>
      </w:pPr>
      <w:r>
        <w:lastRenderedPageBreak/>
        <w:t xml:space="preserve">If the PSC sets out to make all in-state rates equal, ICSolutions recommends that all in-state rates (local or intrastate) be set to be equal to or lower than interstate rates.  If the in-state rates are set higher than interstate rates, then it is likely that calling traffic will move to the lower interstate rate since consumers will obtain interstate phone numbers through Google Voice or by purchasing cheap pay-as-you-go cell phones in order to talk with incarcerated loved ones.  Testimony of Mike Kennedy for ICSolutions, Q&amp;A No. 10, p. 3, lines 1 - 14 (Oct. 10, 2017); </w:t>
      </w:r>
      <w:r>
        <w:rPr>
          <w:i/>
        </w:rPr>
        <w:t xml:space="preserve">see also </w:t>
      </w:r>
      <w:r>
        <w:t>Letter from Alabama PSC, attachment to Secured Perimeters International’s Comments on the Order modifying Rates for Institutional Telecommunications Services: Opposition to Limitations on Payments to Jails, p. 2-3 (Sept. 1, 2017).  The shift of traffic to interstate rates will likely result in a loss of tax revenue for the State of Georgia.  Thus, it is in Georgia’s best interest to find just and reasonable rates that are equal to or lower than interstate rates, which are currently $0.21 per minute for all prepaid and debit calls and $0.25 per minute for collect calls.</w:t>
      </w:r>
    </w:p>
    <w:p w:rsidR="00E1475A" w:rsidRDefault="00E1475A" w:rsidP="004507EF">
      <w:pPr>
        <w:pStyle w:val="Heading3"/>
      </w:pPr>
      <w:bookmarkStart w:id="10" w:name="_Toc504050854"/>
      <w:r>
        <w:t>There will be ways to circumvent the automatic rate cap adjustment that the PSC is unable to control.</w:t>
      </w:r>
      <w:bookmarkEnd w:id="10"/>
    </w:p>
    <w:p w:rsidR="00E1475A" w:rsidRDefault="00E1475A" w:rsidP="00E1475A">
      <w:pPr>
        <w:ind w:left="360"/>
        <w:jc w:val="both"/>
        <w:rPr>
          <w:b/>
        </w:rPr>
      </w:pPr>
    </w:p>
    <w:p w:rsidR="00E1475A" w:rsidRPr="00D76329" w:rsidRDefault="00E1475A" w:rsidP="00E1475A">
      <w:pPr>
        <w:pStyle w:val="ListParagraph"/>
        <w:spacing w:line="480" w:lineRule="auto"/>
        <w:ind w:left="0" w:firstLine="720"/>
        <w:jc w:val="both"/>
      </w:pPr>
      <w:r w:rsidRPr="0011005C">
        <w:t xml:space="preserve">Undoubtedly, the ITS industry will come up with numerous ways to circumvent the automatic rate cap adjustment, and it will be done in such a way that the ITS provider will be able to maintain the overall rate cap.  One such way could be that their sister companies offer discounts on products and services, or commissions on non-ITS products and services, so long as the facility utilizes a certain ITS provider.  For example, assume a county issues a request for proposals (“RFP”) for ITS services, a separate RFP for a jail management system, and a separate RFP for tablets.  Now assume ITS Provider A is owned by a company that also owns a company that provides jail management systems (“JMS Company”) and another company that provides tablets (“Tablet Company”).  </w:t>
      </w:r>
      <w:r w:rsidRPr="00D76329">
        <w:t xml:space="preserve">ITS Provider A can submit their proposal, offering commissions that are at or below the benchmark commission rate, so the rate cap will not be adjusted.  </w:t>
      </w:r>
      <w:r w:rsidRPr="00D76329">
        <w:lastRenderedPageBreak/>
        <w:t xml:space="preserve">Separately, the JMS Company will submit a proposal, and offer a discount on the JMS to all facilities that use ITS Provider A.  In response to the RFP for tablets, Tablet Company may offer the county an option for a higher commission rate on non-ITS services (such as entertainment, like movies and music), for all counties that use ITS Provider A.  </w:t>
      </w:r>
    </w:p>
    <w:p w:rsidR="00E1475A" w:rsidRPr="00D76329" w:rsidRDefault="00E1475A" w:rsidP="00E1475A">
      <w:pPr>
        <w:pStyle w:val="ListParagraph"/>
        <w:spacing w:line="480" w:lineRule="auto"/>
        <w:ind w:left="0" w:firstLine="720"/>
        <w:jc w:val="both"/>
      </w:pPr>
      <w:r w:rsidRPr="00D76329">
        <w:t xml:space="preserve">Both the Tablet Company and the JMS Company are outside of the jurisdiction of the PSC, making it impossible for the PSC to regulate them directly and require them to report costs. But, even if such costs were required to be reported, both the JMS Company and the Tablet Company could likely produce support of cost savings if the county uses ITS Provider A, including but not limited to sharing the same network, leveraging interfaces and other configurations, and so on. And, even beyond cost savings, the PSC cannot control the gross profit margin these unregulated entities choose to offer.  While such arrangements may suggest that these products are “commissions”, they are commissions offered by unregulated entities for unregulated services.  ITS Provider A would certainly have a viable argument that it has no control over whether JMS Company offers a discount on its products or over what commissions are offered by Tablet Company and, therefore, such discount should not be considered a commission for the purposes of determining the rate adjustment.  </w:t>
      </w:r>
    </w:p>
    <w:p w:rsidR="00E1475A" w:rsidRPr="00D76329" w:rsidRDefault="00E1475A" w:rsidP="00E1475A">
      <w:pPr>
        <w:pStyle w:val="ListParagraph"/>
        <w:spacing w:line="480" w:lineRule="auto"/>
        <w:ind w:left="0" w:firstLine="720"/>
        <w:jc w:val="both"/>
      </w:pPr>
      <w:r w:rsidRPr="00D76329">
        <w:t xml:space="preserve">This is just one scenario of circumventing a rate cap that automatically adjusts for commissions that exceed a benchmark.  </w:t>
      </w:r>
      <w:r>
        <w:t>Certainly</w:t>
      </w:r>
      <w:r w:rsidRPr="00D76329">
        <w:t>, more ways to circumvent the regulation will surface if it is indeed implemented.</w:t>
      </w:r>
    </w:p>
    <w:p w:rsidR="00E1475A" w:rsidRPr="00B44421" w:rsidRDefault="00E1475A" w:rsidP="007F171A">
      <w:pPr>
        <w:pStyle w:val="Heading2"/>
      </w:pPr>
      <w:bookmarkStart w:id="11" w:name="_Toc504050855"/>
      <w:r>
        <w:t xml:space="preserve">Any rulings made by the PSC that affect commissions, rates, or fees should be applied to all </w:t>
      </w:r>
      <w:r w:rsidRPr="00B44421">
        <w:t>contracts, facilities and ITS providers at the same time to ensure fairness and best facilitate competition.</w:t>
      </w:r>
      <w:bookmarkEnd w:id="11"/>
    </w:p>
    <w:p w:rsidR="00C407FF" w:rsidRDefault="00E1475A" w:rsidP="00E1475A">
      <w:pPr>
        <w:spacing w:line="480" w:lineRule="auto"/>
        <w:ind w:firstLine="720"/>
        <w:jc w:val="both"/>
      </w:pPr>
      <w:r>
        <w:t xml:space="preserve">Any rate reform issued by the PSC should be applied to all contracts.  Otherwise, the incumbent vendor would have a significant advantage over all other competitors since it is likely </w:t>
      </w:r>
      <w:r>
        <w:lastRenderedPageBreak/>
        <w:t xml:space="preserve">that any caps on commissions would reduce the revenue to the county and / or the facility for any new contracts.  Grandfathering existing contracts would significantly impair competition.  If the PSC wants to avoid interfering with the current budget cycles and the reliance on existing contracts, the PSC can delay the effective date of any rate reform. </w:t>
      </w:r>
      <w:r w:rsidR="00C407FF">
        <w:t xml:space="preserve"> </w:t>
      </w:r>
    </w:p>
    <w:p w:rsidR="00E1475A" w:rsidRPr="00C84F94" w:rsidRDefault="00C407FF" w:rsidP="00E1475A">
      <w:pPr>
        <w:spacing w:line="480" w:lineRule="auto"/>
        <w:ind w:firstLine="720"/>
        <w:jc w:val="both"/>
        <w:rPr>
          <w:color w:val="FF0000"/>
        </w:rPr>
      </w:pPr>
      <w:r>
        <w:t>As for capping fees, the PSC can institute caps on all fees, including third party fees, and apply it to all contracts without delay.  Any fees currently charged that exceed $5.95 for a live agent and $3.00 for an automated payment are charged under the guise of being a pass-through fee charged by third parties.  If accepted at its face value to be true, then ITS providers should not be affected by capping third party fees at the same caps as fees charged directly by ITS providers.</w:t>
      </w:r>
    </w:p>
    <w:p w:rsidR="00E1475A" w:rsidRDefault="00E1475A" w:rsidP="007F171A">
      <w:pPr>
        <w:pStyle w:val="Heading2"/>
      </w:pPr>
      <w:bookmarkStart w:id="12" w:name="_Toc504050856"/>
      <w:r>
        <w:t xml:space="preserve">As an </w:t>
      </w:r>
      <w:r w:rsidRPr="007F171A">
        <w:t>effective</w:t>
      </w:r>
      <w:r>
        <w:t xml:space="preserve"> and efficient alternative to embarking on the impossible task of regulating commissions, the PSC should impose just and reasonable caps on all rates and fees to ensure low costs to consumers.</w:t>
      </w:r>
      <w:bookmarkEnd w:id="12"/>
    </w:p>
    <w:p w:rsidR="00E1475A" w:rsidRDefault="00E1475A" w:rsidP="00E1475A">
      <w:pPr>
        <w:pStyle w:val="ListParagraph"/>
        <w:spacing w:line="480" w:lineRule="auto"/>
        <w:ind w:left="0" w:firstLine="720"/>
        <w:jc w:val="both"/>
      </w:pPr>
      <w:r w:rsidRPr="00C84F94">
        <w:t>It is commendable for the Staff to seek a rate design that attempts to pass the savings to consumers, as opposed to having reduced commissions benefit only the ITS providers.  Even though it is a noble goal, ICSolutions submits that, even with a regulation that incorporates the necessary minimum standards, it is highly likely that ITS providers will find a lawful way to circumvent the rate cap adjustment, which will continue the game of “whack-a-mole”,</w:t>
      </w:r>
      <w:r w:rsidRPr="00C84F94">
        <w:rPr>
          <w:rStyle w:val="FootnoteReference"/>
        </w:rPr>
        <w:footnoteReference w:id="24"/>
      </w:r>
      <w:r w:rsidRPr="00C84F94">
        <w:t xml:space="preserve"> and result in all the PSC’s resources used to establish the regulation and related enforcement wasted. </w:t>
      </w:r>
      <w:r>
        <w:t xml:space="preserve"> Thus, ICSolutions recommends that the PSC focus on setting just and reasonable rate caps and fee caps, without trying to regulate the various cost components that ITS providers incur.  </w:t>
      </w:r>
    </w:p>
    <w:p w:rsidR="00E1475A" w:rsidRDefault="00E1475A" w:rsidP="00E1475A">
      <w:pPr>
        <w:pStyle w:val="ListParagraph"/>
        <w:spacing w:line="480" w:lineRule="auto"/>
        <w:ind w:left="0" w:firstLine="720"/>
        <w:jc w:val="both"/>
      </w:pPr>
      <w:r>
        <w:lastRenderedPageBreak/>
        <w:t>As the PSC considers whether to institute automatic rate cap adjustments, it should be remembered that the reason the PSC is considering a commission cap at all is in an effort to reduce costs to the consumers, and to avoid having ITS providers gain the windfall that can result from the rate reform.  Regardless of whether commissions are broadly or narrowly defined, the benchmark commission is likely what ITS providers will work toward as the reportable commissions for purposes of determining the rate cap adjustment.  This will result in the ITS providers still gaining the benefit of the windfall from the rate reform, and it will be done so at the expense of facilities and with no benefit to consumers.</w:t>
      </w:r>
    </w:p>
    <w:p w:rsidR="00E1475A" w:rsidRDefault="00E1475A" w:rsidP="004507EF">
      <w:pPr>
        <w:pStyle w:val="Heading1"/>
      </w:pPr>
      <w:bookmarkStart w:id="13" w:name="_Toc504050857"/>
      <w:r w:rsidRPr="00B44421">
        <w:t>Conclusion</w:t>
      </w:r>
      <w:bookmarkEnd w:id="13"/>
    </w:p>
    <w:p w:rsidR="00E1475A" w:rsidRPr="00C84F94" w:rsidRDefault="00E1475A" w:rsidP="00E1475A">
      <w:pPr>
        <w:pStyle w:val="ListParagraph"/>
        <w:spacing w:line="480" w:lineRule="auto"/>
        <w:ind w:left="0" w:firstLine="720"/>
        <w:jc w:val="both"/>
      </w:pPr>
      <w:r>
        <w:t>With all issues considered, ICSolutions recommends that the PSC focus on setting just and reasonable rate caps and fee caps, without trying to regulate the various cost components that ITS providers incur.  The PSC cannot lawfully prohibit ITS providers from giving commissions to facilities.  As discussed above, attempting to regulate commissions within the confines of the law will not require a reduction to consumer costs, nor is it likely to encourage it.  To attempt to institute such complex regulations will not only fail to reduce costs to consumers, it will likely reduce the benefits relied upon by facilities and it will be virtually impossible to effectively regulate.  Costs to consumers can only be reduced by controlling the end user charges, which occurs in the form of caps of all rates and all fees.</w:t>
      </w:r>
    </w:p>
    <w:p w:rsidR="00E1475A" w:rsidRDefault="00E1475A" w:rsidP="00E1475A">
      <w:pPr>
        <w:ind w:left="720"/>
        <w:jc w:val="both"/>
        <w:rPr>
          <w:b/>
        </w:rPr>
      </w:pPr>
    </w:p>
    <w:p w:rsidR="0018743F" w:rsidRPr="00AB4774" w:rsidRDefault="0018743F" w:rsidP="0018743F">
      <w:pPr>
        <w:spacing w:after="200" w:line="276" w:lineRule="auto"/>
        <w:jc w:val="center"/>
        <w:rPr>
          <w:b/>
          <w:bCs/>
          <w:smallCaps/>
          <w:u w:val="single"/>
        </w:rPr>
      </w:pPr>
    </w:p>
    <w:p w:rsidR="00E2626D" w:rsidRDefault="00E2626D">
      <w:pPr>
        <w:sectPr w:rsidR="00E2626D" w:rsidSect="00E2626D">
          <w:footerReference w:type="default" r:id="rId10"/>
          <w:pgSz w:w="12240" w:h="15840"/>
          <w:pgMar w:top="1440" w:right="1440" w:bottom="1440" w:left="1440" w:header="720" w:footer="720" w:gutter="0"/>
          <w:pgNumType w:start="1"/>
          <w:cols w:space="720"/>
          <w:docGrid w:linePitch="360"/>
        </w:sectPr>
      </w:pPr>
    </w:p>
    <w:p w:rsidR="00E1475A" w:rsidRDefault="00E1475A" w:rsidP="00E1475A">
      <w:pPr>
        <w:spacing w:before="76"/>
        <w:ind w:left="3186" w:right="-20"/>
      </w:pPr>
      <w:r>
        <w:rPr>
          <w:b/>
          <w:bCs/>
          <w:color w:val="231F20"/>
          <w:u w:val="thick" w:color="231F20"/>
        </w:rPr>
        <w:lastRenderedPageBreak/>
        <w:t>C</w:t>
      </w:r>
      <w:r>
        <w:rPr>
          <w:b/>
          <w:bCs/>
          <w:color w:val="231F20"/>
          <w:spacing w:val="1"/>
          <w:u w:val="thick" w:color="231F20"/>
        </w:rPr>
        <w:t>E</w:t>
      </w:r>
      <w:r>
        <w:rPr>
          <w:b/>
          <w:bCs/>
          <w:color w:val="231F20"/>
          <w:u w:val="thick" w:color="231F20"/>
        </w:rPr>
        <w:t>R</w:t>
      </w:r>
      <w:r>
        <w:rPr>
          <w:b/>
          <w:bCs/>
          <w:color w:val="231F20"/>
          <w:spacing w:val="1"/>
          <w:u w:val="thick" w:color="231F20"/>
        </w:rPr>
        <w:t>T</w:t>
      </w:r>
      <w:r>
        <w:rPr>
          <w:b/>
          <w:bCs/>
          <w:color w:val="231F20"/>
          <w:u w:val="thick" w:color="231F20"/>
        </w:rPr>
        <w:t>I</w:t>
      </w:r>
      <w:r>
        <w:rPr>
          <w:b/>
          <w:bCs/>
          <w:color w:val="231F20"/>
          <w:spacing w:val="-3"/>
          <w:u w:val="thick" w:color="231F20"/>
        </w:rPr>
        <w:t>F</w:t>
      </w:r>
      <w:r>
        <w:rPr>
          <w:b/>
          <w:bCs/>
          <w:color w:val="231F20"/>
          <w:u w:val="thick" w:color="231F20"/>
        </w:rPr>
        <w:t>ICA</w:t>
      </w:r>
      <w:r>
        <w:rPr>
          <w:b/>
          <w:bCs/>
          <w:color w:val="231F20"/>
          <w:spacing w:val="1"/>
          <w:u w:val="thick" w:color="231F20"/>
        </w:rPr>
        <w:t>T</w:t>
      </w:r>
      <w:r>
        <w:rPr>
          <w:b/>
          <w:bCs/>
          <w:color w:val="231F20"/>
          <w:u w:val="thick" w:color="231F20"/>
        </w:rPr>
        <w:t>E</w:t>
      </w:r>
      <w:r>
        <w:rPr>
          <w:b/>
          <w:bCs/>
          <w:color w:val="231F20"/>
          <w:spacing w:val="1"/>
          <w:u w:val="thick" w:color="231F20"/>
        </w:rPr>
        <w:t xml:space="preserve"> </w:t>
      </w:r>
      <w:r>
        <w:rPr>
          <w:b/>
          <w:bCs/>
          <w:color w:val="231F20"/>
          <w:spacing w:val="3"/>
          <w:u w:val="thick" w:color="231F20"/>
        </w:rPr>
        <w:t>O</w:t>
      </w:r>
      <w:r>
        <w:rPr>
          <w:b/>
          <w:bCs/>
          <w:color w:val="231F20"/>
          <w:u w:val="thick" w:color="231F20"/>
        </w:rPr>
        <w:t>F</w:t>
      </w:r>
      <w:r>
        <w:rPr>
          <w:b/>
          <w:bCs/>
          <w:color w:val="231F20"/>
          <w:spacing w:val="-3"/>
          <w:u w:val="thick" w:color="231F20"/>
        </w:rPr>
        <w:t xml:space="preserve"> </w:t>
      </w:r>
      <w:r>
        <w:rPr>
          <w:b/>
          <w:bCs/>
          <w:color w:val="231F20"/>
          <w:spacing w:val="1"/>
          <w:u w:val="thick" w:color="231F20"/>
        </w:rPr>
        <w:t>SE</w:t>
      </w:r>
      <w:r>
        <w:rPr>
          <w:b/>
          <w:bCs/>
          <w:color w:val="231F20"/>
          <w:u w:val="thick" w:color="231F20"/>
        </w:rPr>
        <w:t>RVICE</w:t>
      </w:r>
    </w:p>
    <w:p w:rsidR="00E1475A" w:rsidRDefault="00E1475A" w:rsidP="00E1475A">
      <w:pPr>
        <w:spacing w:before="11" w:line="260" w:lineRule="exact"/>
        <w:rPr>
          <w:sz w:val="26"/>
          <w:szCs w:val="26"/>
        </w:rPr>
      </w:pPr>
    </w:p>
    <w:p w:rsidR="00E1475A" w:rsidRDefault="00E1475A" w:rsidP="00E1475A">
      <w:pPr>
        <w:jc w:val="both"/>
      </w:pPr>
      <w:r>
        <w:t>I hereby certify that I have this day served a copy of the foregoing via U.S. First Class mail or electronic mail to all parties listed on the Commission email distribution list for this docket, including counsel for the parties and the Commission Staff, who are as follows:</w:t>
      </w:r>
    </w:p>
    <w:p w:rsidR="00E1475A" w:rsidRDefault="00E1475A" w:rsidP="00E1475A">
      <w:pPr>
        <w:rPr>
          <w:sz w:val="10"/>
        </w:rPr>
        <w:sectPr w:rsidR="00E1475A" w:rsidSect="00C51FF2">
          <w:pgSz w:w="12240" w:h="15840"/>
          <w:pgMar w:top="1440" w:right="1440" w:bottom="1440" w:left="1440" w:header="720" w:footer="720" w:gutter="0"/>
          <w:pgNumType w:fmt="lowerRoman" w:start="1"/>
          <w:cols w:space="720"/>
        </w:sectPr>
      </w:pPr>
    </w:p>
    <w:p w:rsidR="00E1475A" w:rsidRDefault="00E1475A" w:rsidP="00E1475A">
      <w:pPr>
        <w:tabs>
          <w:tab w:val="left" w:pos="0"/>
        </w:tabs>
        <w:rPr>
          <w:sz w:val="18"/>
          <w:szCs w:val="18"/>
        </w:rPr>
      </w:pPr>
    </w:p>
    <w:p w:rsidR="00E1475A" w:rsidRDefault="00E1475A" w:rsidP="00E1475A">
      <w:pPr>
        <w:tabs>
          <w:tab w:val="left" w:pos="0"/>
        </w:tabs>
        <w:rPr>
          <w:sz w:val="18"/>
          <w:szCs w:val="18"/>
        </w:rPr>
      </w:pPr>
      <w:r>
        <w:rPr>
          <w:sz w:val="18"/>
          <w:szCs w:val="18"/>
        </w:rPr>
        <w:t>Georgia Public Service Commission</w:t>
      </w:r>
    </w:p>
    <w:p w:rsidR="00E1475A" w:rsidRDefault="00E1475A" w:rsidP="00E1475A">
      <w:pPr>
        <w:tabs>
          <w:tab w:val="left" w:pos="0"/>
        </w:tabs>
        <w:rPr>
          <w:sz w:val="18"/>
          <w:szCs w:val="18"/>
        </w:rPr>
      </w:pPr>
      <w:r>
        <w:rPr>
          <w:sz w:val="18"/>
          <w:szCs w:val="18"/>
        </w:rPr>
        <w:t>Reece McAlister</w:t>
      </w:r>
    </w:p>
    <w:p w:rsidR="00E1475A" w:rsidRDefault="00E1475A" w:rsidP="00E1475A">
      <w:pPr>
        <w:tabs>
          <w:tab w:val="left" w:pos="0"/>
        </w:tabs>
        <w:rPr>
          <w:sz w:val="18"/>
          <w:szCs w:val="18"/>
        </w:rPr>
      </w:pPr>
      <w:r>
        <w:rPr>
          <w:sz w:val="18"/>
          <w:szCs w:val="18"/>
        </w:rPr>
        <w:t>244 Washington Street SW</w:t>
      </w:r>
    </w:p>
    <w:p w:rsidR="00E1475A" w:rsidRDefault="00E1475A" w:rsidP="00E1475A">
      <w:pPr>
        <w:tabs>
          <w:tab w:val="left" w:pos="0"/>
        </w:tabs>
        <w:rPr>
          <w:sz w:val="18"/>
          <w:szCs w:val="18"/>
        </w:rPr>
      </w:pPr>
      <w:r>
        <w:rPr>
          <w:sz w:val="18"/>
          <w:szCs w:val="18"/>
        </w:rPr>
        <w:t>Atlanta, GA 30334</w:t>
      </w:r>
    </w:p>
    <w:p w:rsidR="00E1475A" w:rsidRDefault="00E1475A" w:rsidP="00E1475A">
      <w:pPr>
        <w:tabs>
          <w:tab w:val="left" w:pos="0"/>
        </w:tabs>
        <w:rPr>
          <w:sz w:val="18"/>
          <w:szCs w:val="18"/>
        </w:rPr>
      </w:pPr>
      <w:r>
        <w:rPr>
          <w:sz w:val="18"/>
          <w:szCs w:val="18"/>
        </w:rPr>
        <w:t>reecem@psc.state.ga.us</w:t>
      </w:r>
    </w:p>
    <w:p w:rsidR="00E1475A" w:rsidRDefault="00E1475A" w:rsidP="00E1475A">
      <w:pPr>
        <w:tabs>
          <w:tab w:val="left" w:pos="0"/>
        </w:tabs>
        <w:rPr>
          <w:sz w:val="18"/>
          <w:szCs w:val="18"/>
        </w:rPr>
      </w:pPr>
    </w:p>
    <w:p w:rsidR="00E1475A" w:rsidRDefault="00E1475A" w:rsidP="00E1475A">
      <w:pPr>
        <w:tabs>
          <w:tab w:val="left" w:pos="0"/>
        </w:tabs>
        <w:rPr>
          <w:sz w:val="18"/>
          <w:szCs w:val="18"/>
        </w:rPr>
      </w:pPr>
      <w:proofErr w:type="spellStart"/>
      <w:r>
        <w:rPr>
          <w:sz w:val="18"/>
          <w:szCs w:val="18"/>
        </w:rPr>
        <w:t>Bealls</w:t>
      </w:r>
      <w:bookmarkStart w:id="14" w:name="_GoBack"/>
      <w:bookmarkEnd w:id="14"/>
      <w:proofErr w:type="spellEnd"/>
      <w:r>
        <w:rPr>
          <w:sz w:val="18"/>
          <w:szCs w:val="18"/>
        </w:rPr>
        <w:t xml:space="preserve"> Communications Group, LLC</w:t>
      </w:r>
    </w:p>
    <w:p w:rsidR="00E1475A" w:rsidRDefault="00E1475A" w:rsidP="00E1475A">
      <w:pPr>
        <w:tabs>
          <w:tab w:val="left" w:pos="0"/>
        </w:tabs>
        <w:rPr>
          <w:sz w:val="18"/>
          <w:szCs w:val="18"/>
        </w:rPr>
      </w:pPr>
      <w:r>
        <w:rPr>
          <w:sz w:val="18"/>
          <w:szCs w:val="18"/>
        </w:rPr>
        <w:t>Vicky Moody</w:t>
      </w:r>
    </w:p>
    <w:p w:rsidR="00E1475A" w:rsidRDefault="00E1475A" w:rsidP="00E1475A">
      <w:pPr>
        <w:tabs>
          <w:tab w:val="left" w:pos="0"/>
        </w:tabs>
        <w:rPr>
          <w:sz w:val="18"/>
          <w:szCs w:val="18"/>
        </w:rPr>
      </w:pPr>
      <w:r>
        <w:rPr>
          <w:sz w:val="18"/>
          <w:szCs w:val="18"/>
        </w:rPr>
        <w:t>1509 Hickory Avenue, Suite B</w:t>
      </w:r>
    </w:p>
    <w:p w:rsidR="00E1475A" w:rsidRDefault="00E1475A" w:rsidP="00E1475A">
      <w:pPr>
        <w:tabs>
          <w:tab w:val="left" w:pos="0"/>
        </w:tabs>
        <w:rPr>
          <w:sz w:val="18"/>
          <w:szCs w:val="18"/>
        </w:rPr>
      </w:pPr>
      <w:r>
        <w:rPr>
          <w:sz w:val="18"/>
          <w:szCs w:val="18"/>
        </w:rPr>
        <w:t>Panama City, FL 32405-2517</w:t>
      </w:r>
    </w:p>
    <w:p w:rsidR="00E1475A" w:rsidRDefault="00E1475A" w:rsidP="00E1475A">
      <w:pPr>
        <w:tabs>
          <w:tab w:val="left" w:pos="0"/>
        </w:tabs>
        <w:rPr>
          <w:sz w:val="18"/>
          <w:szCs w:val="18"/>
        </w:rPr>
      </w:pPr>
      <w:r>
        <w:rPr>
          <w:sz w:val="18"/>
          <w:szCs w:val="18"/>
        </w:rPr>
        <w:t>vicky@bealls.net</w:t>
      </w:r>
    </w:p>
    <w:p w:rsidR="00E1475A" w:rsidRDefault="00E1475A" w:rsidP="00E1475A">
      <w:pPr>
        <w:tabs>
          <w:tab w:val="left" w:pos="0"/>
        </w:tabs>
        <w:rPr>
          <w:sz w:val="18"/>
          <w:szCs w:val="18"/>
        </w:rPr>
      </w:pPr>
    </w:p>
    <w:p w:rsidR="00E1475A" w:rsidRDefault="00E1475A" w:rsidP="00E1475A">
      <w:pPr>
        <w:tabs>
          <w:tab w:val="left" w:pos="0"/>
        </w:tabs>
        <w:rPr>
          <w:sz w:val="18"/>
          <w:szCs w:val="18"/>
        </w:rPr>
      </w:pPr>
      <w:r>
        <w:rPr>
          <w:sz w:val="18"/>
          <w:szCs w:val="18"/>
        </w:rPr>
        <w:t xml:space="preserve">Global Tel*Link Corporation and Subsidiaries (Public Communications Services, Inc., Value-Added Communications, Inc. and </w:t>
      </w:r>
      <w:proofErr w:type="spellStart"/>
      <w:r>
        <w:rPr>
          <w:sz w:val="18"/>
          <w:szCs w:val="18"/>
        </w:rPr>
        <w:t>DSI-ITI</w:t>
      </w:r>
      <w:proofErr w:type="spellEnd"/>
      <w:r>
        <w:rPr>
          <w:sz w:val="18"/>
          <w:szCs w:val="18"/>
        </w:rPr>
        <w:t>, Inc.)</w:t>
      </w:r>
    </w:p>
    <w:p w:rsidR="00E1475A" w:rsidRDefault="00E1475A" w:rsidP="00E1475A">
      <w:pPr>
        <w:tabs>
          <w:tab w:val="left" w:pos="0"/>
        </w:tabs>
        <w:rPr>
          <w:sz w:val="18"/>
          <w:szCs w:val="18"/>
        </w:rPr>
      </w:pPr>
      <w:proofErr w:type="spellStart"/>
      <w:r>
        <w:rPr>
          <w:sz w:val="18"/>
          <w:szCs w:val="18"/>
        </w:rPr>
        <w:t>Chérie</w:t>
      </w:r>
      <w:proofErr w:type="spellEnd"/>
      <w:r>
        <w:rPr>
          <w:sz w:val="18"/>
          <w:szCs w:val="18"/>
        </w:rPr>
        <w:t xml:space="preserve"> R. Kiser</w:t>
      </w:r>
    </w:p>
    <w:p w:rsidR="00E1475A" w:rsidRDefault="00E1475A" w:rsidP="00E1475A">
      <w:pPr>
        <w:tabs>
          <w:tab w:val="left" w:pos="0"/>
        </w:tabs>
        <w:rPr>
          <w:sz w:val="18"/>
          <w:szCs w:val="18"/>
        </w:rPr>
      </w:pPr>
      <w:r>
        <w:rPr>
          <w:sz w:val="18"/>
          <w:szCs w:val="18"/>
        </w:rPr>
        <w:t xml:space="preserve">Cahill Gordon &amp; </w:t>
      </w:r>
      <w:proofErr w:type="spellStart"/>
      <w:r>
        <w:rPr>
          <w:sz w:val="18"/>
          <w:szCs w:val="18"/>
        </w:rPr>
        <w:t>Reindel</w:t>
      </w:r>
      <w:proofErr w:type="spellEnd"/>
      <w:r>
        <w:rPr>
          <w:sz w:val="18"/>
          <w:szCs w:val="18"/>
        </w:rPr>
        <w:t xml:space="preserve"> LLP</w:t>
      </w:r>
    </w:p>
    <w:p w:rsidR="00E1475A" w:rsidRDefault="00E1475A" w:rsidP="00E1475A">
      <w:pPr>
        <w:tabs>
          <w:tab w:val="left" w:pos="0"/>
        </w:tabs>
        <w:rPr>
          <w:sz w:val="18"/>
          <w:szCs w:val="18"/>
        </w:rPr>
      </w:pPr>
      <w:r>
        <w:rPr>
          <w:sz w:val="18"/>
          <w:szCs w:val="18"/>
        </w:rPr>
        <w:t>1990 K Street, NW, Suite 950</w:t>
      </w:r>
    </w:p>
    <w:p w:rsidR="00E1475A" w:rsidRDefault="00E1475A" w:rsidP="00E1475A">
      <w:pPr>
        <w:tabs>
          <w:tab w:val="left" w:pos="0"/>
        </w:tabs>
        <w:rPr>
          <w:sz w:val="18"/>
          <w:szCs w:val="18"/>
        </w:rPr>
      </w:pPr>
      <w:r>
        <w:rPr>
          <w:sz w:val="18"/>
          <w:szCs w:val="18"/>
        </w:rPr>
        <w:t>Washington, DC 20006</w:t>
      </w:r>
    </w:p>
    <w:p w:rsidR="00E1475A" w:rsidRDefault="00E1475A" w:rsidP="00E1475A">
      <w:pPr>
        <w:tabs>
          <w:tab w:val="left" w:pos="0"/>
        </w:tabs>
        <w:rPr>
          <w:sz w:val="18"/>
          <w:szCs w:val="18"/>
        </w:rPr>
      </w:pPr>
      <w:r>
        <w:rPr>
          <w:sz w:val="18"/>
          <w:szCs w:val="18"/>
        </w:rPr>
        <w:t>ckiser@cahill.com</w:t>
      </w:r>
    </w:p>
    <w:p w:rsidR="00E1475A" w:rsidRDefault="00E1475A" w:rsidP="00E1475A">
      <w:pPr>
        <w:tabs>
          <w:tab w:val="left" w:pos="0"/>
        </w:tabs>
        <w:rPr>
          <w:sz w:val="18"/>
          <w:szCs w:val="18"/>
        </w:rPr>
      </w:pPr>
    </w:p>
    <w:p w:rsidR="00E1475A" w:rsidRDefault="00E1475A" w:rsidP="00E1475A">
      <w:pPr>
        <w:rPr>
          <w:sz w:val="18"/>
          <w:szCs w:val="18"/>
        </w:rPr>
      </w:pPr>
      <w:r>
        <w:rPr>
          <w:sz w:val="18"/>
          <w:szCs w:val="18"/>
        </w:rPr>
        <w:t>Correct Solutions, LLC</w:t>
      </w:r>
    </w:p>
    <w:p w:rsidR="00E1475A" w:rsidRDefault="00E1475A" w:rsidP="00E1475A">
      <w:pPr>
        <w:rPr>
          <w:sz w:val="18"/>
          <w:szCs w:val="18"/>
        </w:rPr>
      </w:pPr>
      <w:r>
        <w:rPr>
          <w:sz w:val="18"/>
          <w:szCs w:val="18"/>
        </w:rPr>
        <w:t>Ryan Horvath</w:t>
      </w:r>
    </w:p>
    <w:p w:rsidR="00E1475A" w:rsidRDefault="00E1475A" w:rsidP="00E1475A">
      <w:pPr>
        <w:rPr>
          <w:sz w:val="18"/>
          <w:szCs w:val="18"/>
        </w:rPr>
      </w:pPr>
      <w:r>
        <w:rPr>
          <w:sz w:val="18"/>
          <w:szCs w:val="18"/>
        </w:rPr>
        <w:t>192 Bastille Lane Suite 200</w:t>
      </w:r>
    </w:p>
    <w:p w:rsidR="00E1475A" w:rsidRDefault="00E1475A" w:rsidP="00E1475A">
      <w:pPr>
        <w:rPr>
          <w:sz w:val="18"/>
          <w:szCs w:val="18"/>
        </w:rPr>
      </w:pPr>
      <w:r>
        <w:rPr>
          <w:sz w:val="18"/>
          <w:szCs w:val="18"/>
        </w:rPr>
        <w:t>Ruston, LA 71270</w:t>
      </w:r>
    </w:p>
    <w:p w:rsidR="00E1475A" w:rsidRDefault="00E1475A" w:rsidP="00E1475A">
      <w:pPr>
        <w:tabs>
          <w:tab w:val="left" w:pos="0"/>
        </w:tabs>
        <w:rPr>
          <w:sz w:val="18"/>
          <w:szCs w:val="18"/>
        </w:rPr>
      </w:pPr>
    </w:p>
    <w:p w:rsidR="00E1475A" w:rsidRDefault="00E1475A" w:rsidP="00E1475A">
      <w:pPr>
        <w:tabs>
          <w:tab w:val="left" w:pos="0"/>
        </w:tabs>
        <w:rPr>
          <w:sz w:val="18"/>
          <w:szCs w:val="18"/>
        </w:rPr>
      </w:pPr>
      <w:r>
        <w:rPr>
          <w:sz w:val="18"/>
          <w:szCs w:val="18"/>
        </w:rPr>
        <w:t>Brian Hackett</w:t>
      </w:r>
    </w:p>
    <w:p w:rsidR="00E1475A" w:rsidRDefault="00E1475A" w:rsidP="00E1475A">
      <w:pPr>
        <w:tabs>
          <w:tab w:val="left" w:pos="0"/>
        </w:tabs>
        <w:rPr>
          <w:sz w:val="18"/>
          <w:szCs w:val="18"/>
        </w:rPr>
      </w:pPr>
      <w:r>
        <w:rPr>
          <w:sz w:val="18"/>
          <w:szCs w:val="18"/>
        </w:rPr>
        <w:t>Regulatory Compliance Manager</w:t>
      </w:r>
    </w:p>
    <w:p w:rsidR="00E1475A" w:rsidRDefault="00E1475A" w:rsidP="00E1475A">
      <w:pPr>
        <w:tabs>
          <w:tab w:val="left" w:pos="0"/>
        </w:tabs>
        <w:rPr>
          <w:sz w:val="18"/>
          <w:szCs w:val="18"/>
        </w:rPr>
      </w:pPr>
      <w:r>
        <w:rPr>
          <w:sz w:val="18"/>
          <w:szCs w:val="18"/>
        </w:rPr>
        <w:t>Global Tel*Link Corporation</w:t>
      </w:r>
    </w:p>
    <w:p w:rsidR="00E1475A" w:rsidRDefault="00E1475A" w:rsidP="00E1475A">
      <w:pPr>
        <w:tabs>
          <w:tab w:val="left" w:pos="0"/>
        </w:tabs>
        <w:rPr>
          <w:sz w:val="18"/>
          <w:szCs w:val="18"/>
        </w:rPr>
      </w:pPr>
      <w:r>
        <w:rPr>
          <w:sz w:val="18"/>
          <w:szCs w:val="18"/>
        </w:rPr>
        <w:t>12021 Sunset Hills Road</w:t>
      </w:r>
    </w:p>
    <w:p w:rsidR="00E1475A" w:rsidRDefault="00E1475A" w:rsidP="00E1475A">
      <w:pPr>
        <w:tabs>
          <w:tab w:val="left" w:pos="0"/>
        </w:tabs>
        <w:rPr>
          <w:sz w:val="18"/>
          <w:szCs w:val="18"/>
        </w:rPr>
      </w:pPr>
      <w:r>
        <w:rPr>
          <w:sz w:val="18"/>
          <w:szCs w:val="18"/>
        </w:rPr>
        <w:t>Suite 100</w:t>
      </w:r>
    </w:p>
    <w:p w:rsidR="00E1475A" w:rsidRDefault="00E1475A" w:rsidP="00E1475A">
      <w:pPr>
        <w:tabs>
          <w:tab w:val="left" w:pos="0"/>
        </w:tabs>
        <w:rPr>
          <w:sz w:val="18"/>
          <w:szCs w:val="18"/>
        </w:rPr>
      </w:pPr>
      <w:r>
        <w:rPr>
          <w:sz w:val="18"/>
          <w:szCs w:val="18"/>
        </w:rPr>
        <w:t>Reston, VA 20190</w:t>
      </w:r>
    </w:p>
    <w:p w:rsidR="00E1475A" w:rsidRDefault="00E1475A" w:rsidP="00E1475A">
      <w:pPr>
        <w:tabs>
          <w:tab w:val="left" w:pos="0"/>
        </w:tabs>
        <w:rPr>
          <w:sz w:val="18"/>
          <w:szCs w:val="18"/>
        </w:rPr>
      </w:pPr>
      <w:r>
        <w:rPr>
          <w:sz w:val="18"/>
          <w:szCs w:val="18"/>
        </w:rPr>
        <w:t>brian.hackett@gtl.net</w:t>
      </w:r>
    </w:p>
    <w:p w:rsidR="00E1475A" w:rsidRDefault="00E1475A" w:rsidP="00E1475A">
      <w:pPr>
        <w:tabs>
          <w:tab w:val="left" w:pos="0"/>
        </w:tabs>
        <w:rPr>
          <w:sz w:val="18"/>
          <w:szCs w:val="18"/>
        </w:rPr>
      </w:pPr>
    </w:p>
    <w:p w:rsidR="00E1475A" w:rsidRDefault="00E1475A" w:rsidP="00E1475A">
      <w:pPr>
        <w:tabs>
          <w:tab w:val="left" w:pos="0"/>
        </w:tabs>
        <w:rPr>
          <w:sz w:val="18"/>
          <w:szCs w:val="18"/>
        </w:rPr>
      </w:pPr>
      <w:r>
        <w:rPr>
          <w:sz w:val="18"/>
          <w:szCs w:val="18"/>
        </w:rPr>
        <w:t>Combined Public Communications, Inc.</w:t>
      </w:r>
    </w:p>
    <w:p w:rsidR="00E1475A" w:rsidRDefault="00E1475A" w:rsidP="00E1475A">
      <w:pPr>
        <w:tabs>
          <w:tab w:val="left" w:pos="0"/>
        </w:tabs>
        <w:rPr>
          <w:sz w:val="18"/>
          <w:szCs w:val="18"/>
        </w:rPr>
      </w:pPr>
      <w:r>
        <w:rPr>
          <w:sz w:val="18"/>
          <w:szCs w:val="18"/>
        </w:rPr>
        <w:t>Melody Weil</w:t>
      </w:r>
    </w:p>
    <w:p w:rsidR="00E1475A" w:rsidRDefault="00E1475A" w:rsidP="00E1475A">
      <w:pPr>
        <w:tabs>
          <w:tab w:val="left" w:pos="0"/>
        </w:tabs>
        <w:rPr>
          <w:sz w:val="18"/>
          <w:szCs w:val="18"/>
        </w:rPr>
      </w:pPr>
      <w:r>
        <w:rPr>
          <w:sz w:val="18"/>
          <w:szCs w:val="18"/>
        </w:rPr>
        <w:t>100 Aqua Drive</w:t>
      </w:r>
    </w:p>
    <w:p w:rsidR="00E1475A" w:rsidRDefault="00E1475A" w:rsidP="00E1475A">
      <w:pPr>
        <w:tabs>
          <w:tab w:val="left" w:pos="0"/>
        </w:tabs>
        <w:rPr>
          <w:sz w:val="18"/>
          <w:szCs w:val="18"/>
        </w:rPr>
      </w:pPr>
      <w:r>
        <w:rPr>
          <w:sz w:val="18"/>
          <w:szCs w:val="18"/>
        </w:rPr>
        <w:t>Cold Springs, KY 41076</w:t>
      </w:r>
    </w:p>
    <w:p w:rsidR="00E1475A" w:rsidRDefault="00E1475A" w:rsidP="00E1475A">
      <w:pPr>
        <w:tabs>
          <w:tab w:val="left" w:pos="0"/>
        </w:tabs>
        <w:rPr>
          <w:sz w:val="18"/>
          <w:szCs w:val="18"/>
        </w:rPr>
      </w:pPr>
      <w:r>
        <w:rPr>
          <w:sz w:val="18"/>
          <w:szCs w:val="18"/>
        </w:rPr>
        <w:t>mweil@combinedpublic.com</w:t>
      </w:r>
    </w:p>
    <w:p w:rsidR="00E1475A" w:rsidRDefault="00E1475A" w:rsidP="00E1475A">
      <w:pPr>
        <w:tabs>
          <w:tab w:val="left" w:pos="0"/>
        </w:tabs>
        <w:rPr>
          <w:sz w:val="18"/>
          <w:szCs w:val="18"/>
        </w:rPr>
      </w:pPr>
    </w:p>
    <w:p w:rsidR="00E1475A" w:rsidRDefault="00E1475A" w:rsidP="00E1475A">
      <w:pPr>
        <w:tabs>
          <w:tab w:val="left" w:pos="0"/>
        </w:tabs>
        <w:rPr>
          <w:sz w:val="18"/>
          <w:szCs w:val="18"/>
        </w:rPr>
      </w:pPr>
      <w:r>
        <w:rPr>
          <w:sz w:val="18"/>
          <w:szCs w:val="18"/>
        </w:rPr>
        <w:t>Legacy Long Distance International, Inc.</w:t>
      </w:r>
    </w:p>
    <w:p w:rsidR="00E1475A" w:rsidRDefault="00E1475A" w:rsidP="00E1475A">
      <w:pPr>
        <w:tabs>
          <w:tab w:val="left" w:pos="0"/>
        </w:tabs>
        <w:rPr>
          <w:sz w:val="18"/>
          <w:szCs w:val="18"/>
        </w:rPr>
      </w:pPr>
      <w:r>
        <w:rPr>
          <w:sz w:val="18"/>
          <w:szCs w:val="18"/>
        </w:rPr>
        <w:t>Rafael Quinto</w:t>
      </w:r>
    </w:p>
    <w:p w:rsidR="00E1475A" w:rsidRDefault="00E1475A" w:rsidP="00E1475A">
      <w:pPr>
        <w:tabs>
          <w:tab w:val="left" w:pos="0"/>
        </w:tabs>
        <w:rPr>
          <w:sz w:val="18"/>
          <w:szCs w:val="18"/>
        </w:rPr>
      </w:pPr>
      <w:r>
        <w:rPr>
          <w:sz w:val="18"/>
          <w:szCs w:val="18"/>
        </w:rPr>
        <w:t>10833 Valley View Street, Suite 150</w:t>
      </w:r>
    </w:p>
    <w:p w:rsidR="00E1475A" w:rsidRDefault="00E1475A" w:rsidP="00E1475A">
      <w:pPr>
        <w:tabs>
          <w:tab w:val="left" w:pos="0"/>
        </w:tabs>
        <w:rPr>
          <w:sz w:val="18"/>
          <w:szCs w:val="18"/>
        </w:rPr>
      </w:pPr>
      <w:r>
        <w:rPr>
          <w:sz w:val="18"/>
          <w:szCs w:val="18"/>
        </w:rPr>
        <w:t>Cypress, CA 90630</w:t>
      </w:r>
    </w:p>
    <w:p w:rsidR="00E1475A" w:rsidRDefault="00E1475A" w:rsidP="00E1475A">
      <w:pPr>
        <w:tabs>
          <w:tab w:val="left" w:pos="0"/>
        </w:tabs>
        <w:rPr>
          <w:sz w:val="18"/>
          <w:szCs w:val="18"/>
        </w:rPr>
      </w:pPr>
      <w:r>
        <w:rPr>
          <w:sz w:val="18"/>
          <w:szCs w:val="18"/>
        </w:rPr>
        <w:t>rquinto@legacyinmate.com</w:t>
      </w:r>
    </w:p>
    <w:p w:rsidR="00E1475A" w:rsidRDefault="00E1475A" w:rsidP="00E1475A">
      <w:pPr>
        <w:tabs>
          <w:tab w:val="left" w:pos="0"/>
        </w:tabs>
        <w:rPr>
          <w:sz w:val="18"/>
          <w:szCs w:val="18"/>
        </w:rPr>
      </w:pPr>
    </w:p>
    <w:p w:rsidR="00E1475A" w:rsidRDefault="00E1475A" w:rsidP="00E1475A">
      <w:pPr>
        <w:tabs>
          <w:tab w:val="left" w:pos="0"/>
        </w:tabs>
        <w:rPr>
          <w:sz w:val="18"/>
          <w:szCs w:val="18"/>
        </w:rPr>
      </w:pPr>
      <w:r>
        <w:rPr>
          <w:sz w:val="18"/>
          <w:szCs w:val="18"/>
        </w:rPr>
        <w:t>Telmate LLC</w:t>
      </w:r>
    </w:p>
    <w:p w:rsidR="00E1475A" w:rsidRDefault="00E1475A" w:rsidP="00E1475A">
      <w:pPr>
        <w:tabs>
          <w:tab w:val="left" w:pos="0"/>
        </w:tabs>
        <w:rPr>
          <w:sz w:val="18"/>
          <w:szCs w:val="18"/>
        </w:rPr>
      </w:pPr>
      <w:r>
        <w:rPr>
          <w:sz w:val="18"/>
          <w:szCs w:val="18"/>
        </w:rPr>
        <w:t>Darren Wallace</w:t>
      </w:r>
    </w:p>
    <w:p w:rsidR="00E1475A" w:rsidRDefault="00E1475A" w:rsidP="00E1475A">
      <w:pPr>
        <w:tabs>
          <w:tab w:val="left" w:pos="0"/>
        </w:tabs>
        <w:rPr>
          <w:sz w:val="18"/>
          <w:szCs w:val="18"/>
        </w:rPr>
      </w:pPr>
      <w:r>
        <w:rPr>
          <w:sz w:val="18"/>
          <w:szCs w:val="18"/>
        </w:rPr>
        <w:t>1108 S.E. 6th Street</w:t>
      </w:r>
    </w:p>
    <w:p w:rsidR="00E1475A" w:rsidRDefault="00E1475A" w:rsidP="00E1475A">
      <w:pPr>
        <w:tabs>
          <w:tab w:val="left" w:pos="0"/>
        </w:tabs>
        <w:rPr>
          <w:sz w:val="18"/>
          <w:szCs w:val="18"/>
        </w:rPr>
      </w:pPr>
      <w:r>
        <w:rPr>
          <w:sz w:val="18"/>
          <w:szCs w:val="18"/>
        </w:rPr>
        <w:t>Ontario, OR 97914</w:t>
      </w:r>
    </w:p>
    <w:p w:rsidR="00E1475A" w:rsidRDefault="00E1475A" w:rsidP="00E1475A">
      <w:pPr>
        <w:tabs>
          <w:tab w:val="left" w:pos="0"/>
        </w:tabs>
        <w:rPr>
          <w:sz w:val="18"/>
          <w:szCs w:val="18"/>
        </w:rPr>
      </w:pPr>
      <w:r>
        <w:rPr>
          <w:sz w:val="18"/>
          <w:szCs w:val="18"/>
        </w:rPr>
        <w:t>darren@intelmate.com</w:t>
      </w:r>
    </w:p>
    <w:p w:rsidR="00E1475A" w:rsidRDefault="00E1475A" w:rsidP="00E1475A">
      <w:pPr>
        <w:tabs>
          <w:tab w:val="left" w:pos="0"/>
        </w:tabs>
        <w:rPr>
          <w:sz w:val="18"/>
          <w:szCs w:val="18"/>
        </w:rPr>
      </w:pPr>
    </w:p>
    <w:p w:rsidR="00E1475A" w:rsidRDefault="00E1475A" w:rsidP="00E1475A">
      <w:pPr>
        <w:tabs>
          <w:tab w:val="left" w:pos="0"/>
        </w:tabs>
        <w:rPr>
          <w:sz w:val="18"/>
          <w:szCs w:val="18"/>
        </w:rPr>
      </w:pPr>
    </w:p>
    <w:p w:rsidR="00E1475A" w:rsidRDefault="00E1475A" w:rsidP="00E1475A">
      <w:pPr>
        <w:tabs>
          <w:tab w:val="left" w:pos="0"/>
        </w:tabs>
        <w:rPr>
          <w:sz w:val="18"/>
          <w:szCs w:val="18"/>
        </w:rPr>
      </w:pPr>
    </w:p>
    <w:p w:rsidR="00E1475A" w:rsidRDefault="00E1475A" w:rsidP="00E1475A">
      <w:pPr>
        <w:tabs>
          <w:tab w:val="left" w:pos="0"/>
        </w:tabs>
        <w:rPr>
          <w:sz w:val="18"/>
          <w:szCs w:val="18"/>
        </w:rPr>
      </w:pPr>
      <w:r>
        <w:rPr>
          <w:sz w:val="18"/>
          <w:szCs w:val="18"/>
        </w:rPr>
        <w:t xml:space="preserve">Securus Technologies, Inc. </w:t>
      </w:r>
    </w:p>
    <w:p w:rsidR="00E1475A" w:rsidRDefault="00C407FF" w:rsidP="00E1475A">
      <w:pPr>
        <w:tabs>
          <w:tab w:val="left" w:pos="0"/>
        </w:tabs>
        <w:rPr>
          <w:sz w:val="18"/>
          <w:szCs w:val="18"/>
        </w:rPr>
      </w:pPr>
      <w:r>
        <w:rPr>
          <w:sz w:val="18"/>
          <w:szCs w:val="18"/>
        </w:rPr>
        <w:t>Michael S. J. Lozich</w:t>
      </w:r>
    </w:p>
    <w:p w:rsidR="00C407FF" w:rsidRDefault="00C407FF" w:rsidP="00E1475A">
      <w:pPr>
        <w:tabs>
          <w:tab w:val="left" w:pos="0"/>
        </w:tabs>
        <w:rPr>
          <w:sz w:val="18"/>
          <w:szCs w:val="18"/>
        </w:rPr>
      </w:pPr>
      <w:r>
        <w:rPr>
          <w:sz w:val="18"/>
          <w:szCs w:val="18"/>
        </w:rPr>
        <w:t>Senior Corporate Counsel &amp;</w:t>
      </w:r>
    </w:p>
    <w:p w:rsidR="00E1475A" w:rsidRDefault="00E1475A" w:rsidP="00E1475A">
      <w:pPr>
        <w:tabs>
          <w:tab w:val="left" w:pos="0"/>
        </w:tabs>
        <w:rPr>
          <w:sz w:val="18"/>
          <w:szCs w:val="18"/>
        </w:rPr>
      </w:pPr>
      <w:r>
        <w:rPr>
          <w:sz w:val="18"/>
          <w:szCs w:val="18"/>
        </w:rPr>
        <w:t>Director, Regulatory &amp; Gov. Affairs</w:t>
      </w:r>
    </w:p>
    <w:p w:rsidR="00E1475A" w:rsidRDefault="00C407FF" w:rsidP="00E1475A">
      <w:pPr>
        <w:tabs>
          <w:tab w:val="left" w:pos="0"/>
        </w:tabs>
        <w:rPr>
          <w:sz w:val="18"/>
          <w:szCs w:val="18"/>
        </w:rPr>
      </w:pPr>
      <w:r>
        <w:rPr>
          <w:sz w:val="18"/>
          <w:szCs w:val="18"/>
        </w:rPr>
        <w:t>4000 International Parkway</w:t>
      </w:r>
    </w:p>
    <w:p w:rsidR="00E1475A" w:rsidRDefault="00C407FF" w:rsidP="00E1475A">
      <w:pPr>
        <w:tabs>
          <w:tab w:val="left" w:pos="0"/>
        </w:tabs>
        <w:rPr>
          <w:sz w:val="18"/>
          <w:szCs w:val="18"/>
        </w:rPr>
      </w:pPr>
      <w:r>
        <w:rPr>
          <w:sz w:val="18"/>
          <w:szCs w:val="18"/>
        </w:rPr>
        <w:t>Carrollton, TX 75007</w:t>
      </w:r>
    </w:p>
    <w:p w:rsidR="00E1475A" w:rsidRDefault="00C407FF" w:rsidP="00E1475A">
      <w:pPr>
        <w:tabs>
          <w:tab w:val="left" w:pos="0"/>
        </w:tabs>
        <w:rPr>
          <w:sz w:val="18"/>
          <w:szCs w:val="18"/>
        </w:rPr>
      </w:pPr>
      <w:r>
        <w:rPr>
          <w:sz w:val="18"/>
          <w:szCs w:val="18"/>
        </w:rPr>
        <w:t>mlozich</w:t>
      </w:r>
      <w:r w:rsidR="00E1475A">
        <w:rPr>
          <w:sz w:val="18"/>
          <w:szCs w:val="18"/>
        </w:rPr>
        <w:t>@securustechnologies.com</w:t>
      </w:r>
    </w:p>
    <w:p w:rsidR="00C407FF" w:rsidRDefault="00C407FF" w:rsidP="00E1475A">
      <w:pPr>
        <w:tabs>
          <w:tab w:val="left" w:pos="0"/>
        </w:tabs>
        <w:rPr>
          <w:sz w:val="18"/>
          <w:szCs w:val="18"/>
        </w:rPr>
      </w:pPr>
    </w:p>
    <w:p w:rsidR="00E1475A" w:rsidRDefault="00E1475A" w:rsidP="00E1475A">
      <w:pPr>
        <w:tabs>
          <w:tab w:val="left" w:pos="0"/>
        </w:tabs>
        <w:rPr>
          <w:sz w:val="18"/>
          <w:szCs w:val="18"/>
        </w:rPr>
      </w:pPr>
      <w:r>
        <w:rPr>
          <w:sz w:val="18"/>
          <w:szCs w:val="18"/>
        </w:rPr>
        <w:t>Lattice Incorporated</w:t>
      </w:r>
    </w:p>
    <w:p w:rsidR="00E1475A" w:rsidRDefault="00E1475A" w:rsidP="00E1475A">
      <w:pPr>
        <w:tabs>
          <w:tab w:val="left" w:pos="0"/>
        </w:tabs>
        <w:rPr>
          <w:sz w:val="18"/>
          <w:szCs w:val="18"/>
        </w:rPr>
      </w:pPr>
      <w:r>
        <w:rPr>
          <w:sz w:val="18"/>
          <w:szCs w:val="18"/>
        </w:rPr>
        <w:t>Terry Whiteside</w:t>
      </w:r>
    </w:p>
    <w:p w:rsidR="00E1475A" w:rsidRDefault="00E1475A" w:rsidP="00E1475A">
      <w:pPr>
        <w:tabs>
          <w:tab w:val="left" w:pos="0"/>
        </w:tabs>
        <w:rPr>
          <w:sz w:val="18"/>
          <w:szCs w:val="18"/>
        </w:rPr>
      </w:pPr>
      <w:r>
        <w:rPr>
          <w:sz w:val="18"/>
          <w:szCs w:val="18"/>
        </w:rPr>
        <w:t>7150 N. Park Drive Suite 500</w:t>
      </w:r>
    </w:p>
    <w:p w:rsidR="00E1475A" w:rsidRDefault="00E1475A" w:rsidP="00E1475A">
      <w:pPr>
        <w:rPr>
          <w:sz w:val="18"/>
          <w:szCs w:val="18"/>
        </w:rPr>
      </w:pPr>
      <w:r>
        <w:rPr>
          <w:sz w:val="18"/>
          <w:szCs w:val="18"/>
        </w:rPr>
        <w:t>Pennsauken, NJ 08109</w:t>
      </w:r>
    </w:p>
    <w:p w:rsidR="00E1475A" w:rsidRDefault="00E1475A" w:rsidP="00E1475A">
      <w:pPr>
        <w:rPr>
          <w:sz w:val="18"/>
          <w:szCs w:val="18"/>
        </w:rPr>
      </w:pPr>
      <w:r>
        <w:rPr>
          <w:sz w:val="18"/>
          <w:szCs w:val="18"/>
        </w:rPr>
        <w:t>twhiteside@latticeinc.com</w:t>
      </w:r>
    </w:p>
    <w:p w:rsidR="00E1475A" w:rsidRDefault="00E1475A" w:rsidP="00E1475A">
      <w:pPr>
        <w:rPr>
          <w:sz w:val="18"/>
          <w:szCs w:val="18"/>
          <w:u w:val="single"/>
        </w:rPr>
      </w:pPr>
    </w:p>
    <w:p w:rsidR="00E1475A" w:rsidRDefault="00E1475A" w:rsidP="00E1475A">
      <w:pPr>
        <w:rPr>
          <w:sz w:val="18"/>
          <w:szCs w:val="18"/>
        </w:rPr>
      </w:pPr>
      <w:r>
        <w:rPr>
          <w:sz w:val="18"/>
          <w:szCs w:val="18"/>
        </w:rPr>
        <w:t>Jennifer Ammons</w:t>
      </w:r>
    </w:p>
    <w:p w:rsidR="00E1475A" w:rsidRDefault="00E1475A" w:rsidP="00E1475A">
      <w:pPr>
        <w:rPr>
          <w:sz w:val="18"/>
          <w:szCs w:val="18"/>
        </w:rPr>
      </w:pPr>
      <w:r>
        <w:rPr>
          <w:sz w:val="18"/>
          <w:szCs w:val="18"/>
        </w:rPr>
        <w:t>Georgia Department of Corrections</w:t>
      </w:r>
    </w:p>
    <w:p w:rsidR="00E1475A" w:rsidRDefault="00E1475A" w:rsidP="00E1475A">
      <w:pPr>
        <w:rPr>
          <w:sz w:val="18"/>
          <w:szCs w:val="18"/>
        </w:rPr>
      </w:pPr>
      <w:r>
        <w:rPr>
          <w:sz w:val="18"/>
          <w:szCs w:val="18"/>
        </w:rPr>
        <w:t>P.O. Box 1529</w:t>
      </w:r>
    </w:p>
    <w:p w:rsidR="00E1475A" w:rsidRDefault="00E1475A" w:rsidP="00E1475A">
      <w:pPr>
        <w:rPr>
          <w:sz w:val="18"/>
          <w:szCs w:val="18"/>
        </w:rPr>
      </w:pPr>
      <w:r>
        <w:rPr>
          <w:sz w:val="18"/>
          <w:szCs w:val="18"/>
        </w:rPr>
        <w:t>Forsyth, Georgia  31029</w:t>
      </w:r>
    </w:p>
    <w:p w:rsidR="00E1475A" w:rsidRDefault="00E1475A" w:rsidP="00E1475A">
      <w:pPr>
        <w:rPr>
          <w:sz w:val="18"/>
          <w:szCs w:val="18"/>
        </w:rPr>
      </w:pPr>
      <w:r>
        <w:rPr>
          <w:sz w:val="18"/>
          <w:szCs w:val="18"/>
        </w:rPr>
        <w:t>jennifer.ammons@gdc.ga.gov</w:t>
      </w:r>
    </w:p>
    <w:p w:rsidR="00E1475A" w:rsidRDefault="00E1475A" w:rsidP="00E1475A">
      <w:pPr>
        <w:rPr>
          <w:sz w:val="18"/>
          <w:szCs w:val="18"/>
        </w:rPr>
      </w:pPr>
    </w:p>
    <w:p w:rsidR="00E1475A" w:rsidRDefault="00E1475A" w:rsidP="00E1475A">
      <w:pPr>
        <w:rPr>
          <w:sz w:val="18"/>
          <w:szCs w:val="18"/>
        </w:rPr>
      </w:pPr>
      <w:r>
        <w:rPr>
          <w:sz w:val="18"/>
          <w:szCs w:val="18"/>
        </w:rPr>
        <w:t>Network Communications International Corp.</w:t>
      </w:r>
    </w:p>
    <w:p w:rsidR="00E1475A" w:rsidRDefault="00E1475A" w:rsidP="00E1475A">
      <w:pPr>
        <w:rPr>
          <w:sz w:val="18"/>
          <w:szCs w:val="18"/>
        </w:rPr>
      </w:pPr>
      <w:r>
        <w:rPr>
          <w:sz w:val="18"/>
          <w:szCs w:val="18"/>
        </w:rPr>
        <w:t>Stephanie Jackson</w:t>
      </w:r>
    </w:p>
    <w:p w:rsidR="00E1475A" w:rsidRDefault="00E1475A" w:rsidP="00E1475A">
      <w:pPr>
        <w:rPr>
          <w:sz w:val="18"/>
          <w:szCs w:val="18"/>
        </w:rPr>
      </w:pPr>
      <w:r>
        <w:rPr>
          <w:sz w:val="18"/>
          <w:szCs w:val="18"/>
        </w:rPr>
        <w:t xml:space="preserve">606 East </w:t>
      </w:r>
      <w:proofErr w:type="spellStart"/>
      <w:r>
        <w:rPr>
          <w:sz w:val="18"/>
          <w:szCs w:val="18"/>
        </w:rPr>
        <w:t>Magrill</w:t>
      </w:r>
      <w:proofErr w:type="spellEnd"/>
      <w:r>
        <w:rPr>
          <w:sz w:val="18"/>
          <w:szCs w:val="18"/>
        </w:rPr>
        <w:t xml:space="preserve"> Street</w:t>
      </w:r>
    </w:p>
    <w:p w:rsidR="00E1475A" w:rsidRDefault="00E1475A" w:rsidP="00E1475A">
      <w:pPr>
        <w:rPr>
          <w:sz w:val="18"/>
          <w:szCs w:val="18"/>
        </w:rPr>
      </w:pPr>
      <w:r>
        <w:rPr>
          <w:sz w:val="18"/>
          <w:szCs w:val="18"/>
        </w:rPr>
        <w:t>Longview, TX 75601</w:t>
      </w:r>
    </w:p>
    <w:p w:rsidR="00E1475A" w:rsidRDefault="00E1475A" w:rsidP="00E1475A">
      <w:pPr>
        <w:rPr>
          <w:sz w:val="18"/>
          <w:szCs w:val="18"/>
        </w:rPr>
      </w:pPr>
      <w:r>
        <w:rPr>
          <w:sz w:val="18"/>
          <w:szCs w:val="18"/>
        </w:rPr>
        <w:t>stephanie.jackson@ncic.com</w:t>
      </w:r>
    </w:p>
    <w:p w:rsidR="00E1475A" w:rsidRDefault="00E1475A" w:rsidP="00E1475A">
      <w:pPr>
        <w:rPr>
          <w:sz w:val="18"/>
          <w:szCs w:val="18"/>
        </w:rPr>
      </w:pPr>
    </w:p>
    <w:p w:rsidR="00E1475A" w:rsidRDefault="00E1475A" w:rsidP="00E1475A">
      <w:pPr>
        <w:rPr>
          <w:sz w:val="18"/>
          <w:szCs w:val="18"/>
        </w:rPr>
      </w:pPr>
      <w:r>
        <w:rPr>
          <w:sz w:val="18"/>
          <w:szCs w:val="18"/>
        </w:rPr>
        <w:t>Pay Tel Communications, Inc.</w:t>
      </w:r>
    </w:p>
    <w:p w:rsidR="00E1475A" w:rsidRDefault="00E1475A" w:rsidP="00E1475A">
      <w:pPr>
        <w:rPr>
          <w:sz w:val="18"/>
          <w:szCs w:val="18"/>
        </w:rPr>
      </w:pPr>
      <w:r>
        <w:rPr>
          <w:sz w:val="18"/>
          <w:szCs w:val="18"/>
        </w:rPr>
        <w:t>Newton Galloway</w:t>
      </w:r>
    </w:p>
    <w:p w:rsidR="00E1475A" w:rsidRDefault="00E1475A" w:rsidP="00E1475A">
      <w:pPr>
        <w:rPr>
          <w:sz w:val="18"/>
          <w:szCs w:val="18"/>
        </w:rPr>
      </w:pPr>
      <w:r>
        <w:rPr>
          <w:sz w:val="18"/>
          <w:szCs w:val="18"/>
        </w:rPr>
        <w:t>The Lewis Mills House</w:t>
      </w:r>
      <w:r>
        <w:rPr>
          <w:sz w:val="18"/>
          <w:szCs w:val="18"/>
        </w:rPr>
        <w:br/>
        <w:t>406 North Hill Street</w:t>
      </w:r>
      <w:r>
        <w:rPr>
          <w:sz w:val="18"/>
          <w:szCs w:val="18"/>
        </w:rPr>
        <w:br/>
        <w:t>Griffin, Georgia 30223</w:t>
      </w:r>
    </w:p>
    <w:p w:rsidR="00E1475A" w:rsidRDefault="00E1475A" w:rsidP="00E1475A">
      <w:pPr>
        <w:rPr>
          <w:sz w:val="18"/>
          <w:szCs w:val="18"/>
        </w:rPr>
      </w:pPr>
      <w:r>
        <w:rPr>
          <w:sz w:val="18"/>
          <w:szCs w:val="18"/>
        </w:rPr>
        <w:t>ngalloway@gallyn-law.com</w:t>
      </w:r>
    </w:p>
    <w:p w:rsidR="00E1475A" w:rsidRDefault="00E1475A" w:rsidP="00E1475A">
      <w:pPr>
        <w:rPr>
          <w:sz w:val="18"/>
          <w:szCs w:val="18"/>
        </w:rPr>
      </w:pPr>
    </w:p>
    <w:p w:rsidR="00E1475A" w:rsidRDefault="00E1475A" w:rsidP="00E1475A">
      <w:pPr>
        <w:rPr>
          <w:sz w:val="18"/>
          <w:szCs w:val="18"/>
        </w:rPr>
      </w:pPr>
      <w:r>
        <w:rPr>
          <w:sz w:val="18"/>
          <w:szCs w:val="18"/>
        </w:rPr>
        <w:t xml:space="preserve">Securus Technologies, Inc. </w:t>
      </w:r>
    </w:p>
    <w:p w:rsidR="00E1475A" w:rsidRDefault="00E1475A" w:rsidP="00E1475A">
      <w:pPr>
        <w:rPr>
          <w:sz w:val="18"/>
          <w:szCs w:val="18"/>
        </w:rPr>
      </w:pPr>
      <w:r>
        <w:rPr>
          <w:sz w:val="18"/>
          <w:szCs w:val="18"/>
        </w:rPr>
        <w:t>Paul C. Besozzi</w:t>
      </w:r>
    </w:p>
    <w:p w:rsidR="00E1475A" w:rsidRDefault="00E1475A" w:rsidP="00E1475A">
      <w:pPr>
        <w:rPr>
          <w:sz w:val="18"/>
          <w:szCs w:val="18"/>
        </w:rPr>
      </w:pPr>
      <w:r>
        <w:rPr>
          <w:sz w:val="18"/>
          <w:szCs w:val="18"/>
        </w:rPr>
        <w:t xml:space="preserve">Partner </w:t>
      </w:r>
    </w:p>
    <w:p w:rsidR="00E1475A" w:rsidRDefault="00E1475A" w:rsidP="00E1475A">
      <w:pPr>
        <w:rPr>
          <w:sz w:val="18"/>
          <w:szCs w:val="18"/>
        </w:rPr>
      </w:pPr>
      <w:r>
        <w:rPr>
          <w:sz w:val="18"/>
          <w:szCs w:val="18"/>
        </w:rPr>
        <w:t>Squire Patton Boggs (US) LLP</w:t>
      </w:r>
    </w:p>
    <w:p w:rsidR="00E1475A" w:rsidRDefault="00E1475A" w:rsidP="00E1475A">
      <w:pPr>
        <w:rPr>
          <w:sz w:val="18"/>
          <w:szCs w:val="18"/>
        </w:rPr>
      </w:pPr>
      <w:r>
        <w:rPr>
          <w:sz w:val="18"/>
          <w:szCs w:val="18"/>
        </w:rPr>
        <w:t>2550 M Street, NW</w:t>
      </w:r>
    </w:p>
    <w:p w:rsidR="00E1475A" w:rsidRDefault="00E1475A" w:rsidP="00E1475A">
      <w:pPr>
        <w:rPr>
          <w:sz w:val="18"/>
          <w:szCs w:val="18"/>
        </w:rPr>
      </w:pPr>
      <w:r>
        <w:rPr>
          <w:sz w:val="18"/>
          <w:szCs w:val="18"/>
        </w:rPr>
        <w:t>Washington, DC  20037</w:t>
      </w:r>
    </w:p>
    <w:p w:rsidR="00E1475A" w:rsidRDefault="00E1475A" w:rsidP="00E1475A">
      <w:pPr>
        <w:rPr>
          <w:sz w:val="18"/>
          <w:szCs w:val="18"/>
        </w:rPr>
      </w:pPr>
      <w:r w:rsidRPr="007017FB">
        <w:rPr>
          <w:sz w:val="18"/>
          <w:szCs w:val="18"/>
        </w:rPr>
        <w:t>paul.besozzi@squirepb.com</w:t>
      </w:r>
    </w:p>
    <w:p w:rsidR="00E1475A" w:rsidRDefault="00E1475A" w:rsidP="00E1475A">
      <w:pPr>
        <w:tabs>
          <w:tab w:val="left" w:pos="0"/>
        </w:tabs>
        <w:rPr>
          <w:sz w:val="18"/>
          <w:szCs w:val="18"/>
        </w:rPr>
      </w:pPr>
    </w:p>
    <w:p w:rsidR="00E1475A" w:rsidRPr="00D35585" w:rsidRDefault="00E1475A" w:rsidP="00E1475A">
      <w:pPr>
        <w:tabs>
          <w:tab w:val="left" w:pos="0"/>
        </w:tabs>
        <w:rPr>
          <w:sz w:val="18"/>
          <w:szCs w:val="18"/>
        </w:rPr>
      </w:pPr>
      <w:r w:rsidRPr="00D35585">
        <w:rPr>
          <w:sz w:val="18"/>
          <w:szCs w:val="18"/>
        </w:rPr>
        <w:t>Mr. Daniel S. Walsh</w:t>
      </w:r>
    </w:p>
    <w:p w:rsidR="00E1475A" w:rsidRPr="00D35585" w:rsidRDefault="00E1475A" w:rsidP="00E1475A">
      <w:pPr>
        <w:tabs>
          <w:tab w:val="left" w:pos="0"/>
        </w:tabs>
        <w:rPr>
          <w:sz w:val="18"/>
          <w:szCs w:val="18"/>
        </w:rPr>
      </w:pPr>
      <w:r w:rsidRPr="00D35585">
        <w:rPr>
          <w:sz w:val="18"/>
          <w:szCs w:val="18"/>
        </w:rPr>
        <w:t>Department of Law - State of Georgia</w:t>
      </w:r>
    </w:p>
    <w:p w:rsidR="00E1475A" w:rsidRPr="00D35585" w:rsidRDefault="00E1475A" w:rsidP="00E1475A">
      <w:pPr>
        <w:tabs>
          <w:tab w:val="left" w:pos="0"/>
        </w:tabs>
        <w:rPr>
          <w:sz w:val="18"/>
          <w:szCs w:val="18"/>
        </w:rPr>
      </w:pPr>
      <w:r w:rsidRPr="00D35585">
        <w:rPr>
          <w:sz w:val="18"/>
          <w:szCs w:val="18"/>
        </w:rPr>
        <w:t>40 Capitol Avenue, SW</w:t>
      </w:r>
    </w:p>
    <w:p w:rsidR="00E1475A" w:rsidRPr="00D35585" w:rsidRDefault="00E1475A" w:rsidP="00E1475A">
      <w:pPr>
        <w:tabs>
          <w:tab w:val="left" w:pos="0"/>
        </w:tabs>
        <w:rPr>
          <w:sz w:val="18"/>
          <w:szCs w:val="18"/>
        </w:rPr>
      </w:pPr>
      <w:r w:rsidRPr="00D35585">
        <w:rPr>
          <w:sz w:val="18"/>
          <w:szCs w:val="18"/>
        </w:rPr>
        <w:t>Atlanta, GA 30334</w:t>
      </w:r>
    </w:p>
    <w:p w:rsidR="00E1475A" w:rsidRPr="00D35585" w:rsidRDefault="00E1475A" w:rsidP="00E1475A">
      <w:pPr>
        <w:tabs>
          <w:tab w:val="left" w:pos="0"/>
        </w:tabs>
        <w:rPr>
          <w:sz w:val="18"/>
          <w:szCs w:val="18"/>
        </w:rPr>
      </w:pPr>
      <w:hyperlink r:id="rId11" w:history="1">
        <w:r w:rsidRPr="00D35585">
          <w:rPr>
            <w:sz w:val="18"/>
            <w:szCs w:val="18"/>
          </w:rPr>
          <w:t>dwalsh@law.ga.gov</w:t>
        </w:r>
      </w:hyperlink>
    </w:p>
    <w:p w:rsidR="00E1475A" w:rsidRDefault="00E1475A" w:rsidP="00E1475A">
      <w:pPr>
        <w:tabs>
          <w:tab w:val="left" w:pos="0"/>
        </w:tabs>
        <w:rPr>
          <w:sz w:val="18"/>
          <w:szCs w:val="18"/>
        </w:rPr>
      </w:pPr>
      <w:r>
        <w:rPr>
          <w:sz w:val="18"/>
          <w:szCs w:val="18"/>
        </w:rPr>
        <w:t xml:space="preserve"> </w:t>
      </w:r>
    </w:p>
    <w:p w:rsidR="00E1475A" w:rsidRPr="00D35585" w:rsidRDefault="00E1475A" w:rsidP="00E1475A">
      <w:pPr>
        <w:tabs>
          <w:tab w:val="left" w:pos="0"/>
        </w:tabs>
        <w:rPr>
          <w:sz w:val="18"/>
          <w:szCs w:val="18"/>
        </w:rPr>
      </w:pPr>
      <w:r w:rsidRPr="00D35585">
        <w:rPr>
          <w:sz w:val="18"/>
          <w:szCs w:val="18"/>
        </w:rPr>
        <w:t>Mr. Leon Bowles</w:t>
      </w:r>
    </w:p>
    <w:p w:rsidR="00E1475A" w:rsidRPr="00D35585" w:rsidRDefault="00E1475A" w:rsidP="00E1475A">
      <w:pPr>
        <w:pStyle w:val="NoSpacing"/>
        <w:rPr>
          <w:rFonts w:ascii="Times New Roman" w:hAnsi="Times New Roman" w:cs="Times New Roman"/>
          <w:sz w:val="18"/>
          <w:szCs w:val="18"/>
        </w:rPr>
      </w:pPr>
      <w:r w:rsidRPr="00D35585">
        <w:rPr>
          <w:rFonts w:ascii="Times New Roman" w:hAnsi="Times New Roman" w:cs="Times New Roman"/>
          <w:sz w:val="18"/>
          <w:szCs w:val="18"/>
        </w:rPr>
        <w:t>Georgia Public Service Commission</w:t>
      </w:r>
    </w:p>
    <w:p w:rsidR="00E1475A" w:rsidRPr="00D35585" w:rsidRDefault="00E1475A" w:rsidP="00E1475A">
      <w:pPr>
        <w:pStyle w:val="NoSpacing"/>
        <w:rPr>
          <w:rFonts w:ascii="Times New Roman" w:hAnsi="Times New Roman" w:cs="Times New Roman"/>
          <w:sz w:val="18"/>
          <w:szCs w:val="18"/>
        </w:rPr>
      </w:pPr>
      <w:r w:rsidRPr="00D35585">
        <w:rPr>
          <w:rFonts w:ascii="Times New Roman" w:hAnsi="Times New Roman" w:cs="Times New Roman"/>
          <w:sz w:val="18"/>
          <w:szCs w:val="18"/>
        </w:rPr>
        <w:t>244 Washington Street, S.W.</w:t>
      </w:r>
    </w:p>
    <w:p w:rsidR="00E1475A" w:rsidRPr="00D35585" w:rsidRDefault="00E1475A" w:rsidP="00E1475A">
      <w:pPr>
        <w:pStyle w:val="NoSpacing"/>
        <w:rPr>
          <w:rFonts w:ascii="Times New Roman" w:hAnsi="Times New Roman" w:cs="Times New Roman"/>
          <w:sz w:val="18"/>
          <w:szCs w:val="18"/>
        </w:rPr>
      </w:pPr>
      <w:r w:rsidRPr="00D35585">
        <w:rPr>
          <w:rFonts w:ascii="Times New Roman" w:hAnsi="Times New Roman" w:cs="Times New Roman"/>
          <w:sz w:val="18"/>
          <w:szCs w:val="18"/>
        </w:rPr>
        <w:t>Atlanta, GA  30334</w:t>
      </w:r>
    </w:p>
    <w:p w:rsidR="00E1475A" w:rsidRPr="00D35585" w:rsidRDefault="00E1475A" w:rsidP="00E1475A">
      <w:pPr>
        <w:pStyle w:val="NoSpacing"/>
        <w:rPr>
          <w:rFonts w:ascii="Times New Roman" w:hAnsi="Times New Roman" w:cs="Times New Roman"/>
          <w:sz w:val="18"/>
          <w:szCs w:val="18"/>
        </w:rPr>
      </w:pPr>
      <w:hyperlink r:id="rId12" w:history="1">
        <w:r w:rsidRPr="00D35585">
          <w:rPr>
            <w:sz w:val="18"/>
            <w:szCs w:val="18"/>
          </w:rPr>
          <w:t>leonb@psc.state.ga.us</w:t>
        </w:r>
      </w:hyperlink>
    </w:p>
    <w:p w:rsidR="00E1475A" w:rsidRDefault="00E1475A" w:rsidP="00E1475A">
      <w:pPr>
        <w:rPr>
          <w:sz w:val="18"/>
          <w:szCs w:val="18"/>
        </w:rPr>
      </w:pPr>
    </w:p>
    <w:p w:rsidR="00E1475A" w:rsidRDefault="00E1475A" w:rsidP="00E1475A">
      <w:pPr>
        <w:sectPr w:rsidR="00E1475A">
          <w:type w:val="continuous"/>
          <w:pgSz w:w="12240" w:h="15840"/>
          <w:pgMar w:top="1440" w:right="1440" w:bottom="1440" w:left="1440" w:header="720" w:footer="720" w:gutter="0"/>
          <w:cols w:num="3" w:space="90"/>
        </w:sectPr>
      </w:pPr>
    </w:p>
    <w:p w:rsidR="00E1475A" w:rsidRDefault="00E1475A" w:rsidP="00E1475A">
      <w:pPr>
        <w:rPr>
          <w:sz w:val="14"/>
        </w:rPr>
      </w:pPr>
    </w:p>
    <w:p w:rsidR="00E1475A" w:rsidRDefault="00E1475A" w:rsidP="00E147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rsidR="00E1475A" w:rsidRDefault="00E1475A" w:rsidP="00E147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tab/>
        <w:t>This 19</w:t>
      </w:r>
      <w:r w:rsidRPr="0011005C">
        <w:rPr>
          <w:vertAlign w:val="superscript"/>
        </w:rPr>
        <w:t>th</w:t>
      </w:r>
      <w:r>
        <w:t xml:space="preserve"> day of January, 2018.</w:t>
      </w:r>
    </w:p>
    <w:p w:rsidR="00E1475A" w:rsidRDefault="00E1475A" w:rsidP="00E147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rsidR="00E1475A" w:rsidRPr="0067165E" w:rsidRDefault="00E1475A" w:rsidP="00E1475A">
      <w:pPr>
        <w:spacing w:line="200" w:lineRule="exact"/>
        <w:rPr>
          <w:color w:val="FF0000"/>
          <w:sz w:val="20"/>
          <w:szCs w:val="20"/>
        </w:rPr>
      </w:pPr>
    </w:p>
    <w:p w:rsidR="00E1475A" w:rsidRDefault="00E1475A" w:rsidP="00E1475A">
      <w:pPr>
        <w:pStyle w:val="BodyTextIndent"/>
        <w:ind w:left="5040" w:firstLine="0"/>
      </w:pPr>
      <w:r>
        <w:rPr>
          <w:noProof/>
        </w:rPr>
        <w:drawing>
          <wp:anchor distT="0" distB="0" distL="114300" distR="114300" simplePos="0" relativeHeight="251659264" behindDoc="1" locked="0" layoutInCell="1" allowOverlap="1" wp14:anchorId="420AF72A" wp14:editId="39B8D169">
            <wp:simplePos x="0" y="0"/>
            <wp:positionH relativeFrom="column">
              <wp:posOffset>3486150</wp:posOffset>
            </wp:positionH>
            <wp:positionV relativeFrom="paragraph">
              <wp:posOffset>48895</wp:posOffset>
            </wp:positionV>
            <wp:extent cx="1838325" cy="366395"/>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arlen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38325" cy="366395"/>
                    </a:xfrm>
                    <a:prstGeom prst="rect">
                      <a:avLst/>
                    </a:prstGeom>
                  </pic:spPr>
                </pic:pic>
              </a:graphicData>
            </a:graphic>
            <wp14:sizeRelH relativeFrom="margin">
              <wp14:pctWidth>0</wp14:pctWidth>
            </wp14:sizeRelH>
            <wp14:sizeRelV relativeFrom="margin">
              <wp14:pctHeight>0</wp14:pctHeight>
            </wp14:sizeRelV>
          </wp:anchor>
        </w:drawing>
      </w:r>
    </w:p>
    <w:p w:rsidR="00E1475A" w:rsidRDefault="00E1475A" w:rsidP="00E1475A">
      <w:pPr>
        <w:pStyle w:val="E-mailSignature"/>
        <w:ind w:left="4320"/>
      </w:pPr>
      <w:r>
        <w:tab/>
        <w:t xml:space="preserve">By:  </w:t>
      </w:r>
      <w:r>
        <w:rPr>
          <w:u w:val="single"/>
        </w:rPr>
        <w:t>_______________________</w:t>
      </w:r>
    </w:p>
    <w:p w:rsidR="00E1475A" w:rsidRDefault="00E1475A" w:rsidP="00E1475A">
      <w:pPr>
        <w:pStyle w:val="E-mailSignature"/>
        <w:ind w:left="4320"/>
      </w:pPr>
      <w:r>
        <w:tab/>
        <w:t xml:space="preserve">       Charlena S. Aumiller</w:t>
      </w:r>
    </w:p>
    <w:p w:rsidR="00E1475A" w:rsidRPr="004D060A" w:rsidRDefault="00E1475A" w:rsidP="00E1475A">
      <w:pPr>
        <w:pStyle w:val="BodyTextIndent"/>
        <w:rPr>
          <w:iCs/>
        </w:rPr>
      </w:pPr>
    </w:p>
    <w:p w:rsidR="0069176D" w:rsidRDefault="0069176D"/>
    <w:sectPr w:rsidR="0069176D" w:rsidSect="00C51FF2">
      <w:footerReference w:type="default" r:id="rId14"/>
      <w:pgSz w:w="12240" w:h="15840"/>
      <w:pgMar w:top="1440" w:right="1440" w:bottom="1440" w:left="1440"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423" w:rsidRDefault="00802423" w:rsidP="00E2626D">
      <w:r>
        <w:separator/>
      </w:r>
    </w:p>
  </w:endnote>
  <w:endnote w:type="continuationSeparator" w:id="0">
    <w:p w:rsidR="00802423" w:rsidRDefault="00802423" w:rsidP="00E2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550441"/>
      <w:docPartObj>
        <w:docPartGallery w:val="Page Numbers (Bottom of Page)"/>
        <w:docPartUnique/>
      </w:docPartObj>
    </w:sdtPr>
    <w:sdtEndPr>
      <w:rPr>
        <w:noProof/>
      </w:rPr>
    </w:sdtEndPr>
    <w:sdtContent>
      <w:p w:rsidR="00E2626D" w:rsidRDefault="00E2626D">
        <w:pPr>
          <w:pStyle w:val="Footer"/>
          <w:jc w:val="center"/>
        </w:pPr>
        <w:r>
          <w:fldChar w:fldCharType="begin"/>
        </w:r>
        <w:r>
          <w:instrText xml:space="preserve"> PAGE   \* MERGEFORMAT </w:instrText>
        </w:r>
        <w:r>
          <w:fldChar w:fldCharType="separate"/>
        </w:r>
        <w:r w:rsidR="004B4E43">
          <w:rPr>
            <w:noProof/>
          </w:rPr>
          <w:t>ii</w:t>
        </w:r>
        <w:r>
          <w:rPr>
            <w:noProof/>
          </w:rPr>
          <w:fldChar w:fldCharType="end"/>
        </w:r>
      </w:p>
    </w:sdtContent>
  </w:sdt>
  <w:p w:rsidR="00E2626D" w:rsidRDefault="00E262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739641"/>
      <w:docPartObj>
        <w:docPartGallery w:val="Page Numbers (Bottom of Page)"/>
        <w:docPartUnique/>
      </w:docPartObj>
    </w:sdtPr>
    <w:sdtEndPr>
      <w:rPr>
        <w:noProof/>
      </w:rPr>
    </w:sdtEndPr>
    <w:sdtContent>
      <w:p w:rsidR="00E2626D" w:rsidRDefault="00E2626D">
        <w:pPr>
          <w:pStyle w:val="Footer"/>
          <w:jc w:val="center"/>
        </w:pPr>
        <w:r>
          <w:fldChar w:fldCharType="begin"/>
        </w:r>
        <w:r>
          <w:instrText xml:space="preserve"> PAGE   \* MERGEFORMAT </w:instrText>
        </w:r>
        <w:r>
          <w:fldChar w:fldCharType="separate"/>
        </w:r>
        <w:r w:rsidR="004B4E43">
          <w:rPr>
            <w:noProof/>
          </w:rPr>
          <w:t>i</w:t>
        </w:r>
        <w:r>
          <w:rPr>
            <w:noProof/>
          </w:rPr>
          <w:fldChar w:fldCharType="end"/>
        </w:r>
      </w:p>
    </w:sdtContent>
  </w:sdt>
  <w:p w:rsidR="00E2626D" w:rsidRDefault="00E2626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740" w:rsidRDefault="00802423">
    <w:pPr>
      <w:pStyle w:val="Footer"/>
      <w:jc w:val="center"/>
    </w:pPr>
    <w:r>
      <w:fldChar w:fldCharType="begin"/>
    </w:r>
    <w:r>
      <w:instrText xml:space="preserve"> PAGE   \* MERGEFORMAT </w:instrText>
    </w:r>
    <w:r>
      <w:fldChar w:fldCharType="separate"/>
    </w:r>
    <w:r w:rsidR="00D61385">
      <w:rPr>
        <w:noProof/>
      </w:rPr>
      <w:t>ii</w:t>
    </w:r>
    <w:r>
      <w:rPr>
        <w:noProof/>
      </w:rPr>
      <w:fldChar w:fldCharType="end"/>
    </w:r>
  </w:p>
  <w:p w:rsidR="00815740" w:rsidRDefault="008024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423" w:rsidRDefault="00802423" w:rsidP="00E2626D">
      <w:r>
        <w:separator/>
      </w:r>
    </w:p>
  </w:footnote>
  <w:footnote w:type="continuationSeparator" w:id="0">
    <w:p w:rsidR="00802423" w:rsidRDefault="00802423" w:rsidP="00E2626D">
      <w:r>
        <w:continuationSeparator/>
      </w:r>
    </w:p>
  </w:footnote>
  <w:footnote w:id="1">
    <w:p w:rsidR="00981311" w:rsidRPr="001E1B7B" w:rsidRDefault="00981311" w:rsidP="00981311">
      <w:pPr>
        <w:pStyle w:val="FootnoteText"/>
      </w:pPr>
      <w:r w:rsidRPr="001E1B7B">
        <w:rPr>
          <w:rStyle w:val="FootnoteReference"/>
        </w:rPr>
        <w:footnoteRef/>
      </w:r>
      <w:r w:rsidRPr="001E1B7B">
        <w:t xml:space="preserve"> Certificate P-005 (May 17, 2005) (temporary certification granted on May 18, 2004).</w:t>
      </w:r>
    </w:p>
  </w:footnote>
  <w:footnote w:id="2">
    <w:p w:rsidR="00E1475A" w:rsidRPr="001E1B7B" w:rsidRDefault="00E1475A" w:rsidP="00E1475A">
      <w:pPr>
        <w:pStyle w:val="FootnoteText"/>
      </w:pPr>
      <w:r w:rsidRPr="001E1B7B">
        <w:rPr>
          <w:rStyle w:val="FootnoteReference"/>
        </w:rPr>
        <w:footnoteRef/>
      </w:r>
      <w:r w:rsidRPr="001E1B7B">
        <w:t xml:space="preserve"> In Re: Institutional Telecommunication Services, </w:t>
      </w:r>
      <w:r w:rsidRPr="001E1B7B">
        <w:rPr>
          <w:i/>
        </w:rPr>
        <w:t>Procedural and Scheduling Order</w:t>
      </w:r>
      <w:r w:rsidRPr="001E1B7B">
        <w:t>, Docket No. 18870-U, Document No. 72890 (May 19, 2004).</w:t>
      </w:r>
    </w:p>
  </w:footnote>
  <w:footnote w:id="3">
    <w:p w:rsidR="00E1475A" w:rsidRPr="001E1B7B" w:rsidRDefault="00E1475A" w:rsidP="00E1475A">
      <w:pPr>
        <w:pStyle w:val="FootnoteText"/>
      </w:pPr>
      <w:r w:rsidRPr="001E1B7B">
        <w:rPr>
          <w:rStyle w:val="FootnoteReference"/>
        </w:rPr>
        <w:footnoteRef/>
      </w:r>
      <w:r w:rsidRPr="001E1B7B">
        <w:t xml:space="preserve"> In Re: Institutional Telecommunication Services, </w:t>
      </w:r>
      <w:r w:rsidRPr="001E1B7B">
        <w:rPr>
          <w:i/>
        </w:rPr>
        <w:t>Procedural and Scheduling Order</w:t>
      </w:r>
      <w:r w:rsidRPr="001E1B7B">
        <w:t>, Docket No. 18870-U, Document No. 165349 (Sept. 26, 2016).</w:t>
      </w:r>
    </w:p>
  </w:footnote>
  <w:footnote w:id="4">
    <w:p w:rsidR="00E1475A" w:rsidRPr="001E1B7B" w:rsidRDefault="00E1475A" w:rsidP="00E1475A">
      <w:pPr>
        <w:pStyle w:val="FootnoteText"/>
      </w:pPr>
      <w:r w:rsidRPr="001E1B7B">
        <w:rPr>
          <w:rStyle w:val="FootnoteReference"/>
        </w:rPr>
        <w:footnoteRef/>
      </w:r>
      <w:r w:rsidRPr="001E1B7B">
        <w:t xml:space="preserve"> </w:t>
      </w:r>
      <w:r w:rsidRPr="001E1B7B">
        <w:rPr>
          <w:i/>
        </w:rPr>
        <w:t>Rates for Interstate Inmate Calling Services</w:t>
      </w:r>
      <w:r w:rsidRPr="001E1B7B">
        <w:t xml:space="preserve">, FCC WC Docket No. 12-375, Report and Order and Further Notice of Proposed Rulemaking, 28 FCC </w:t>
      </w:r>
      <w:proofErr w:type="spellStart"/>
      <w:r w:rsidRPr="001E1B7B">
        <w:t>Rcd</w:t>
      </w:r>
      <w:proofErr w:type="spellEnd"/>
      <w:r w:rsidRPr="001E1B7B">
        <w:t xml:space="preserve"> 14107 (2013) (“2013 Rate Order”).</w:t>
      </w:r>
    </w:p>
  </w:footnote>
  <w:footnote w:id="5">
    <w:p w:rsidR="00E1475A" w:rsidRPr="001E1B7B" w:rsidRDefault="00E1475A" w:rsidP="00E1475A">
      <w:pPr>
        <w:pStyle w:val="FootnoteText"/>
      </w:pPr>
      <w:r w:rsidRPr="001E1B7B">
        <w:rPr>
          <w:rStyle w:val="FootnoteReference"/>
        </w:rPr>
        <w:footnoteRef/>
      </w:r>
      <w:r w:rsidRPr="001E1B7B">
        <w:t xml:space="preserve"> </w:t>
      </w:r>
      <w:r w:rsidRPr="001E1B7B">
        <w:rPr>
          <w:i/>
        </w:rPr>
        <w:t>Rates for Interstate Inmate Calling Services</w:t>
      </w:r>
      <w:r w:rsidRPr="001E1B7B">
        <w:t xml:space="preserve">, FCC WC Docket No. 12-375, Second Report and Order and Third Further Notice of Proposed Rulemaking, 30 FCC </w:t>
      </w:r>
      <w:proofErr w:type="spellStart"/>
      <w:r w:rsidRPr="001E1B7B">
        <w:t>Rcd</w:t>
      </w:r>
      <w:proofErr w:type="spellEnd"/>
      <w:r w:rsidRPr="001E1B7B">
        <w:t>. 12763 (2015 ) (“2015 Rate Order”). Appendix A of the 2015 Rate Order, which contains the Rules, is provided as Attachment 2 for convenience, with the entire 2015 Rate Order (210 pages) available through the online FCC docket at https://www.fcc.gov/ecfs/filing/60001306557.</w:t>
      </w:r>
    </w:p>
  </w:footnote>
  <w:footnote w:id="6">
    <w:p w:rsidR="00E1475A" w:rsidRPr="001E1B7B" w:rsidRDefault="00E1475A" w:rsidP="00E1475A">
      <w:pPr>
        <w:pStyle w:val="FootnoteText"/>
      </w:pPr>
      <w:r w:rsidRPr="001E1B7B">
        <w:rPr>
          <w:rStyle w:val="FootnoteReference"/>
        </w:rPr>
        <w:footnoteRef/>
      </w:r>
      <w:r w:rsidRPr="001E1B7B">
        <w:t xml:space="preserve"> </w:t>
      </w:r>
      <w:r w:rsidRPr="001E1B7B">
        <w:rPr>
          <w:i/>
        </w:rPr>
        <w:t xml:space="preserve">Rates for Interstate Inmate Calling </w:t>
      </w:r>
      <w:r w:rsidRPr="001E1B7B">
        <w:t xml:space="preserve">Services, FCC WC Docket No. 12-375, Order on Reconsideration, 31 FCC </w:t>
      </w:r>
      <w:proofErr w:type="spellStart"/>
      <w:r w:rsidRPr="001E1B7B">
        <w:t>Rcd</w:t>
      </w:r>
      <w:proofErr w:type="spellEnd"/>
      <w:r w:rsidRPr="001E1B7B">
        <w:t xml:space="preserve"> 9300 (2016) (“2016 Rate Order”).</w:t>
      </w:r>
    </w:p>
  </w:footnote>
  <w:footnote w:id="7">
    <w:p w:rsidR="00E1475A" w:rsidRPr="001E1B7B" w:rsidRDefault="00E1475A" w:rsidP="00E1475A">
      <w:pPr>
        <w:pStyle w:val="FootnoteText"/>
      </w:pPr>
      <w:r w:rsidRPr="001E1B7B">
        <w:rPr>
          <w:rStyle w:val="FootnoteReference"/>
        </w:rPr>
        <w:footnoteRef/>
      </w:r>
      <w:r w:rsidRPr="001E1B7B">
        <w:t xml:space="preserve"> </w:t>
      </w:r>
      <w:r w:rsidRPr="001E1B7B">
        <w:rPr>
          <w:i/>
        </w:rPr>
        <w:t>Securus Techs., Inc. v. FCC</w:t>
      </w:r>
      <w:r w:rsidRPr="001E1B7B">
        <w:t xml:space="preserve">, Nos. 13-1280 </w:t>
      </w:r>
      <w:r w:rsidRPr="001E1B7B">
        <w:rPr>
          <w:i/>
        </w:rPr>
        <w:t xml:space="preserve">et al. </w:t>
      </w:r>
      <w:r w:rsidRPr="001E1B7B">
        <w:t xml:space="preserve">(D.C. Cir. filed Nov. 24, 2013) (“Appeal of FCC’s 2013 Rate Order); </w:t>
      </w:r>
      <w:r w:rsidRPr="001E1B7B">
        <w:rPr>
          <w:i/>
        </w:rPr>
        <w:t>Global Tel*Link v. FCC</w:t>
      </w:r>
      <w:r w:rsidRPr="001E1B7B">
        <w:t xml:space="preserve">, No. 15-1451 (D.C. Cir., Dec. 18, 2015) (“Appeal of FCC’s 2015 Rate Order”); </w:t>
      </w:r>
      <w:r w:rsidRPr="001E1B7B">
        <w:rPr>
          <w:i/>
        </w:rPr>
        <w:t>Securus Techs, Inc. v. FCC</w:t>
      </w:r>
      <w:r w:rsidRPr="001E1B7B">
        <w:t xml:space="preserve">, Nos. 16-1321 </w:t>
      </w:r>
      <w:r w:rsidRPr="001E1B7B">
        <w:rPr>
          <w:i/>
        </w:rPr>
        <w:t xml:space="preserve">et al. </w:t>
      </w:r>
      <w:r w:rsidRPr="001E1B7B">
        <w:t>(D.C. Cir. Filed Sept. 13, 2016) (“Appeal of FCC’s 2016 Rate Order).</w:t>
      </w:r>
    </w:p>
  </w:footnote>
  <w:footnote w:id="8">
    <w:p w:rsidR="00E1475A" w:rsidRPr="001E1B7B" w:rsidRDefault="00E1475A" w:rsidP="00E1475A">
      <w:pPr>
        <w:pStyle w:val="FootnoteText"/>
      </w:pPr>
      <w:r w:rsidRPr="001E1B7B">
        <w:rPr>
          <w:rStyle w:val="FootnoteReference"/>
        </w:rPr>
        <w:footnoteRef/>
      </w:r>
      <w:r w:rsidRPr="001E1B7B">
        <w:t xml:space="preserve"> </w:t>
      </w:r>
      <w:r w:rsidRPr="001E1B7B">
        <w:rPr>
          <w:i/>
        </w:rPr>
        <w:t>Securus Techs., Inc. v. FCC</w:t>
      </w:r>
      <w:r w:rsidRPr="001E1B7B">
        <w:t xml:space="preserve">, Nos. 13-1280 </w:t>
      </w:r>
      <w:r w:rsidRPr="001E1B7B">
        <w:rPr>
          <w:i/>
        </w:rPr>
        <w:t xml:space="preserve">et al., </w:t>
      </w:r>
      <w:r w:rsidRPr="001E1B7B">
        <w:t xml:space="preserve">Order (D.C. Cir. Jan. 13, 2014) (staying, </w:t>
      </w:r>
      <w:r w:rsidRPr="001E1B7B">
        <w:rPr>
          <w:i/>
        </w:rPr>
        <w:t>inter alia</w:t>
      </w:r>
      <w:r w:rsidRPr="001E1B7B">
        <w:t xml:space="preserve">, 47 C.F.R. § 64.6020 (interim safe harbor rates), from the FCC’s 2013 Rate Order); </w:t>
      </w:r>
      <w:r w:rsidRPr="001E1B7B">
        <w:rPr>
          <w:i/>
        </w:rPr>
        <w:t>Global Tel*Link, et al. v. FCC</w:t>
      </w:r>
      <w:r w:rsidRPr="001E1B7B">
        <w:t xml:space="preserve">, Nos. 15-1461, Order (D.C. Cir. Mar. 7, 2016) (staying, </w:t>
      </w:r>
      <w:r w:rsidRPr="001E1B7B">
        <w:rPr>
          <w:i/>
        </w:rPr>
        <w:t>inter alia</w:t>
      </w:r>
      <w:r w:rsidRPr="001E1B7B">
        <w:t xml:space="preserve">, 47 C.F.R. §§ 64.6010 setting caps on calling rates from the FCC’s 2015 Rate Order); </w:t>
      </w:r>
      <w:r w:rsidRPr="001E1B7B">
        <w:rPr>
          <w:i/>
        </w:rPr>
        <w:t>Securus Techs., Inc. v. FCC</w:t>
      </w:r>
      <w:r w:rsidRPr="001E1B7B">
        <w:t xml:space="preserve">, Nos. 16-1321 </w:t>
      </w:r>
      <w:r w:rsidRPr="001E1B7B">
        <w:rPr>
          <w:i/>
        </w:rPr>
        <w:t>et al.</w:t>
      </w:r>
      <w:r w:rsidRPr="001E1B7B">
        <w:t>, Order (D.C. Cir. Nov. 2, 2016) (staying the FCC’s “Order on Reconsideration,” FCC 16-102 (Aug. 9, 2016) (FCC’s 2016 Rate Order).</w:t>
      </w:r>
      <w:r w:rsidRPr="001E1B7B">
        <w:rPr>
          <w:color w:val="FF0000"/>
        </w:rPr>
        <w:t xml:space="preserve"> </w:t>
      </w:r>
    </w:p>
  </w:footnote>
  <w:footnote w:id="9">
    <w:p w:rsidR="00E1475A" w:rsidRPr="001E1B7B" w:rsidRDefault="00E1475A" w:rsidP="00E1475A">
      <w:pPr>
        <w:pStyle w:val="FootnoteText"/>
      </w:pPr>
      <w:r w:rsidRPr="001E1B7B">
        <w:rPr>
          <w:rStyle w:val="FootnoteReference"/>
        </w:rPr>
        <w:footnoteRef/>
      </w:r>
      <w:r w:rsidRPr="001E1B7B">
        <w:t xml:space="preserve"> </w:t>
      </w:r>
      <w:r w:rsidRPr="001E1B7B">
        <w:rPr>
          <w:i/>
        </w:rPr>
        <w:t>Global Tel*Link, et al. v. FCC</w:t>
      </w:r>
      <w:r w:rsidRPr="001E1B7B">
        <w:t>, Nos. 15-1461, Order, at 7 (D.C. Cir. June 13, 2017).</w:t>
      </w:r>
    </w:p>
  </w:footnote>
  <w:footnote w:id="10">
    <w:p w:rsidR="00E1475A" w:rsidRPr="001E1B7B" w:rsidRDefault="00E1475A" w:rsidP="00E1475A">
      <w:pPr>
        <w:pStyle w:val="FootnoteText"/>
      </w:pPr>
      <w:r w:rsidRPr="001E1B7B">
        <w:rPr>
          <w:rStyle w:val="FootnoteReference"/>
        </w:rPr>
        <w:footnoteRef/>
      </w:r>
      <w:r w:rsidRPr="001E1B7B">
        <w:t xml:space="preserve"> </w:t>
      </w:r>
      <w:r w:rsidRPr="001E1B7B">
        <w:rPr>
          <w:i/>
        </w:rPr>
        <w:t>Global Tel*Link, et al. v. FCC</w:t>
      </w:r>
      <w:r w:rsidRPr="001E1B7B">
        <w:t xml:space="preserve">, Nos. 15-1461, Petition for Rehearing </w:t>
      </w:r>
      <w:r w:rsidRPr="001E1B7B">
        <w:rPr>
          <w:i/>
        </w:rPr>
        <w:t>En Banc</w:t>
      </w:r>
      <w:r w:rsidRPr="001E1B7B">
        <w:t xml:space="preserve"> of </w:t>
      </w:r>
      <w:proofErr w:type="spellStart"/>
      <w:r w:rsidRPr="001E1B7B">
        <w:t>Intervernors</w:t>
      </w:r>
      <w:proofErr w:type="spellEnd"/>
      <w:r w:rsidRPr="001E1B7B">
        <w:t xml:space="preserve"> [</w:t>
      </w:r>
      <w:r w:rsidRPr="001E1B7B">
        <w:rPr>
          <w:i/>
        </w:rPr>
        <w:t>sic</w:t>
      </w:r>
      <w:r w:rsidRPr="001E1B7B">
        <w:t>], the Wright Petitioners (D.C. Cir. July 28, 2017).</w:t>
      </w:r>
    </w:p>
  </w:footnote>
  <w:footnote w:id="11">
    <w:p w:rsidR="00E1475A" w:rsidRPr="001E1B7B" w:rsidRDefault="00E1475A" w:rsidP="00E1475A">
      <w:pPr>
        <w:pStyle w:val="FootnoteText"/>
      </w:pPr>
      <w:r w:rsidRPr="001E1B7B">
        <w:rPr>
          <w:rStyle w:val="FootnoteReference"/>
        </w:rPr>
        <w:footnoteRef/>
      </w:r>
      <w:r w:rsidRPr="001E1B7B">
        <w:t xml:space="preserve"> </w:t>
      </w:r>
      <w:r w:rsidRPr="001E1B7B">
        <w:rPr>
          <w:i/>
        </w:rPr>
        <w:t>Global Tel*Link, et al. v. FCC</w:t>
      </w:r>
      <w:r w:rsidRPr="001E1B7B">
        <w:t>, Nos. 15-1461, Order (D.C. Cir. Sept. 26, 2017).</w:t>
      </w:r>
    </w:p>
  </w:footnote>
  <w:footnote w:id="12">
    <w:p w:rsidR="00E1475A" w:rsidRPr="001E1B7B" w:rsidRDefault="00E1475A" w:rsidP="00E1475A">
      <w:pPr>
        <w:pStyle w:val="FootnoteText"/>
      </w:pPr>
      <w:r w:rsidRPr="001E1B7B">
        <w:rPr>
          <w:rStyle w:val="FootnoteReference"/>
        </w:rPr>
        <w:footnoteRef/>
      </w:r>
      <w:r w:rsidRPr="001E1B7B">
        <w:t xml:space="preserve">  </w:t>
      </w:r>
      <w:r w:rsidRPr="001E1B7B">
        <w:rPr>
          <w:i/>
        </w:rPr>
        <w:t>See Securus Techs., Inc. v. FCC</w:t>
      </w:r>
      <w:r w:rsidRPr="001E1B7B">
        <w:t xml:space="preserve">, Nos. 13-1280 </w:t>
      </w:r>
      <w:r w:rsidRPr="001E1B7B">
        <w:rPr>
          <w:i/>
        </w:rPr>
        <w:t xml:space="preserve">et al., </w:t>
      </w:r>
      <w:r w:rsidRPr="001E1B7B">
        <w:t>Order (D.C. Cir. Jan. 13, 2014) (permitting the interim interstate maximum rates in the 2013 Rate Order’s § 64.6030 to take effect).</w:t>
      </w:r>
    </w:p>
  </w:footnote>
  <w:footnote w:id="13">
    <w:p w:rsidR="00E1475A" w:rsidRPr="001E1B7B" w:rsidRDefault="00E1475A" w:rsidP="00E1475A">
      <w:pPr>
        <w:pStyle w:val="FootnoteText"/>
      </w:pPr>
      <w:r w:rsidRPr="001E1B7B">
        <w:rPr>
          <w:rStyle w:val="FootnoteReference"/>
        </w:rPr>
        <w:footnoteRef/>
      </w:r>
      <w:r w:rsidRPr="001E1B7B">
        <w:t xml:space="preserve"> </w:t>
      </w:r>
      <w:r w:rsidRPr="001E1B7B">
        <w:rPr>
          <w:i/>
        </w:rPr>
        <w:t>See Global Tel*Link, et al. v. FCC</w:t>
      </w:r>
      <w:r w:rsidRPr="001E1B7B">
        <w:t>, Nos. 15-1461, Order (D.C. Cir. Mar. 7, 2016) (permitting fee caps and the prohibitions on per-call surcharges and flat-rate calling in the 2015 Rate Order’s § 64.6020, § 64.6080, and § 64.6090, respectively, to take effect).</w:t>
      </w:r>
    </w:p>
  </w:footnote>
  <w:footnote w:id="14">
    <w:p w:rsidR="00E1475A" w:rsidRPr="001E1B7B" w:rsidRDefault="00E1475A" w:rsidP="00E1475A">
      <w:pPr>
        <w:pStyle w:val="FootnoteText"/>
      </w:pPr>
      <w:r w:rsidRPr="001E1B7B">
        <w:rPr>
          <w:rStyle w:val="FootnoteReference"/>
        </w:rPr>
        <w:footnoteRef/>
      </w:r>
      <w:r w:rsidRPr="001E1B7B">
        <w:t xml:space="preserve"> </w:t>
      </w:r>
      <w:r w:rsidRPr="001E1B7B">
        <w:rPr>
          <w:i/>
        </w:rPr>
        <w:t>Securus Techs., Inc. v. FCC</w:t>
      </w:r>
      <w:r w:rsidRPr="001E1B7B">
        <w:t xml:space="preserve">, Nos. 13-1280 </w:t>
      </w:r>
      <w:r w:rsidRPr="001E1B7B">
        <w:rPr>
          <w:i/>
        </w:rPr>
        <w:t>et al.</w:t>
      </w:r>
      <w:r w:rsidRPr="001E1B7B">
        <w:t>, Order</w:t>
      </w:r>
      <w:r w:rsidRPr="001E1B7B">
        <w:rPr>
          <w:i/>
        </w:rPr>
        <w:t xml:space="preserve"> </w:t>
      </w:r>
      <w:r w:rsidRPr="001E1B7B">
        <w:t>(D.C. Cir., Dec. 21, 2017) .</w:t>
      </w:r>
    </w:p>
  </w:footnote>
  <w:footnote w:id="15">
    <w:p w:rsidR="00E1475A" w:rsidRPr="001E1B7B" w:rsidRDefault="00E1475A" w:rsidP="00E1475A">
      <w:pPr>
        <w:pStyle w:val="FootnoteText"/>
      </w:pPr>
      <w:r w:rsidRPr="001E1B7B">
        <w:rPr>
          <w:rStyle w:val="FootnoteReference"/>
        </w:rPr>
        <w:footnoteRef/>
      </w:r>
      <w:r w:rsidRPr="001E1B7B">
        <w:t xml:space="preserve"> </w:t>
      </w:r>
      <w:r w:rsidRPr="001E1B7B">
        <w:rPr>
          <w:i/>
        </w:rPr>
        <w:t>Securus Techs, Inc. v. FCC</w:t>
      </w:r>
      <w:r w:rsidRPr="001E1B7B">
        <w:t xml:space="preserve">, Nos. 16-1321 </w:t>
      </w:r>
      <w:r w:rsidRPr="001E1B7B">
        <w:rPr>
          <w:i/>
        </w:rPr>
        <w:t>et al.</w:t>
      </w:r>
      <w:r w:rsidRPr="001E1B7B">
        <w:t>, Order</w:t>
      </w:r>
      <w:r w:rsidRPr="001E1B7B">
        <w:rPr>
          <w:i/>
        </w:rPr>
        <w:t xml:space="preserve"> </w:t>
      </w:r>
      <w:r w:rsidRPr="001E1B7B">
        <w:t>(D.C. Cir., Dec. 21, 2016).</w:t>
      </w:r>
    </w:p>
  </w:footnote>
  <w:footnote w:id="16">
    <w:p w:rsidR="00E1475A" w:rsidRPr="001E1B7B" w:rsidRDefault="00E1475A" w:rsidP="00E1475A">
      <w:pPr>
        <w:pStyle w:val="FootnoteText"/>
      </w:pPr>
      <w:r w:rsidRPr="001E1B7B">
        <w:rPr>
          <w:rStyle w:val="FootnoteReference"/>
        </w:rPr>
        <w:footnoteRef/>
      </w:r>
      <w:r w:rsidRPr="001E1B7B">
        <w:t xml:space="preserve"> Georgie Public Service Comm’n, </w:t>
      </w:r>
      <w:r w:rsidR="00B04E5D" w:rsidRPr="001E1B7B">
        <w:t xml:space="preserve">In re: Institutional Telecommunication Services, </w:t>
      </w:r>
      <w:r w:rsidRPr="001E1B7B">
        <w:rPr>
          <w:bCs/>
          <w:i/>
        </w:rPr>
        <w:t>Order Adopting Rates and a Procedural and Scheduling Order</w:t>
      </w:r>
      <w:r w:rsidRPr="001E1B7B">
        <w:rPr>
          <w:bCs/>
        </w:rPr>
        <w:t>, Docket No. 18870, Document No. 169682, at 1-2 (Oct. 2, 2017) (“PSO”).</w:t>
      </w:r>
    </w:p>
  </w:footnote>
  <w:footnote w:id="17">
    <w:p w:rsidR="00E1475A" w:rsidRPr="001E1B7B" w:rsidRDefault="00E1475A" w:rsidP="00E1475A">
      <w:pPr>
        <w:pStyle w:val="FootnoteText"/>
        <w:rPr>
          <w:i/>
        </w:rPr>
      </w:pPr>
      <w:r w:rsidRPr="001E1B7B">
        <w:rPr>
          <w:rStyle w:val="FootnoteReference"/>
        </w:rPr>
        <w:footnoteRef/>
      </w:r>
      <w:r w:rsidRPr="001E1B7B">
        <w:t xml:space="preserve"> </w:t>
      </w:r>
      <w:r w:rsidRPr="001E1B7B">
        <w:rPr>
          <w:i/>
        </w:rPr>
        <w:t>Rates for Interstate Inmate Calling Services</w:t>
      </w:r>
      <w:r w:rsidRPr="001E1B7B">
        <w:t xml:space="preserve">, FCC WC Docket No. 12-375, Second Report and Order and Third Further Notice of Proposed Rulemaking, App. A, § 64.6010, 30 FCC </w:t>
      </w:r>
      <w:proofErr w:type="spellStart"/>
      <w:r w:rsidRPr="001E1B7B">
        <w:t>Rcd</w:t>
      </w:r>
      <w:proofErr w:type="spellEnd"/>
      <w:r w:rsidRPr="001E1B7B">
        <w:t xml:space="preserve">. 12763 (2015 ) (stayed by </w:t>
      </w:r>
      <w:r w:rsidRPr="001E1B7B">
        <w:rPr>
          <w:i/>
        </w:rPr>
        <w:t>Global Tel*Link, et al. v. FCC</w:t>
      </w:r>
      <w:r w:rsidRPr="001E1B7B">
        <w:t xml:space="preserve">, Nos. 15-1461, Order (D.C. Cir. Mar. 7, 2016)), </w:t>
      </w:r>
      <w:r w:rsidRPr="001E1B7B">
        <w:rPr>
          <w:i/>
        </w:rPr>
        <w:t xml:space="preserve">available at </w:t>
      </w:r>
      <w:r w:rsidRPr="001E1B7B">
        <w:t xml:space="preserve">https://www.fcc.gov/ecfs/filing/60001306557. </w:t>
      </w:r>
      <w:r w:rsidRPr="001E1B7B">
        <w:rPr>
          <w:i/>
        </w:rPr>
        <w:t xml:space="preserve"> </w:t>
      </w:r>
    </w:p>
  </w:footnote>
  <w:footnote w:id="18">
    <w:p w:rsidR="00E1475A" w:rsidRPr="001E1B7B" w:rsidRDefault="00E1475A" w:rsidP="00E1475A">
      <w:pPr>
        <w:pStyle w:val="FootnoteText"/>
      </w:pPr>
      <w:r w:rsidRPr="001E1B7B">
        <w:rPr>
          <w:rStyle w:val="FootnoteReference"/>
        </w:rPr>
        <w:footnoteRef/>
      </w:r>
      <w:r w:rsidRPr="001E1B7B">
        <w:t xml:space="preserve"> </w:t>
      </w:r>
      <w:r w:rsidRPr="001E1B7B">
        <w:rPr>
          <w:i/>
        </w:rPr>
        <w:t>Securus Techs, Inc. v. FCC</w:t>
      </w:r>
      <w:r w:rsidRPr="001E1B7B">
        <w:t xml:space="preserve">, Nos. 16-1321 </w:t>
      </w:r>
      <w:r w:rsidRPr="001E1B7B">
        <w:rPr>
          <w:i/>
        </w:rPr>
        <w:t>et al.</w:t>
      </w:r>
      <w:r w:rsidRPr="001E1B7B">
        <w:t>, Order</w:t>
      </w:r>
      <w:r w:rsidRPr="001E1B7B">
        <w:rPr>
          <w:i/>
        </w:rPr>
        <w:t xml:space="preserve"> </w:t>
      </w:r>
      <w:r w:rsidRPr="001E1B7B">
        <w:t>(D.C. Cir., Dec. 21, 2016).</w:t>
      </w:r>
    </w:p>
  </w:footnote>
  <w:footnote w:id="19">
    <w:p w:rsidR="00E1475A" w:rsidRPr="001E1B7B" w:rsidRDefault="00E1475A" w:rsidP="00E1475A">
      <w:pPr>
        <w:pStyle w:val="FootnoteText"/>
      </w:pPr>
      <w:r w:rsidRPr="001E1B7B">
        <w:rPr>
          <w:rStyle w:val="FootnoteReference"/>
        </w:rPr>
        <w:footnoteRef/>
      </w:r>
      <w:r w:rsidRPr="001E1B7B">
        <w:t xml:space="preserve"> </w:t>
      </w:r>
      <w:r w:rsidRPr="001E1B7B">
        <w:rPr>
          <w:i/>
        </w:rPr>
        <w:t>Global Tel*Link, et al. v. FCC</w:t>
      </w:r>
      <w:r w:rsidRPr="001E1B7B">
        <w:t>, Nos. 15-1461, Order, at 7 (D.C. Cir. June 13, 2017).</w:t>
      </w:r>
    </w:p>
  </w:footnote>
  <w:footnote w:id="20">
    <w:p w:rsidR="00E1475A" w:rsidRPr="001E1B7B" w:rsidRDefault="00E1475A" w:rsidP="00E1475A">
      <w:pPr>
        <w:pStyle w:val="FootnoteText"/>
      </w:pPr>
      <w:r w:rsidRPr="001E1B7B">
        <w:rPr>
          <w:rStyle w:val="FootnoteReference"/>
        </w:rPr>
        <w:footnoteRef/>
      </w:r>
      <w:r w:rsidRPr="001E1B7B">
        <w:t xml:space="preserve"> This case involved the Georgia Railroad Commission, which was formed in 1879, with the name changing to the Georgia Public Service Commission in 1922.  For additional information about the development of the PSC, please see the PSC’s website at http://www.psc.state.ga.us/pscinfo/pscintro.asp. </w:t>
      </w:r>
    </w:p>
  </w:footnote>
  <w:footnote w:id="21">
    <w:p w:rsidR="00384777" w:rsidRPr="00384777" w:rsidRDefault="00384777">
      <w:pPr>
        <w:pStyle w:val="FootnoteText"/>
      </w:pPr>
      <w:r>
        <w:rPr>
          <w:rStyle w:val="FootnoteReference"/>
        </w:rPr>
        <w:footnoteRef/>
      </w:r>
      <w:r>
        <w:t xml:space="preserve"> </w:t>
      </w:r>
      <w:r>
        <w:t xml:space="preserve">Alabama Public Service Comm’n, </w:t>
      </w:r>
      <w:r w:rsidRPr="00384777">
        <w:t>Re: Generic Proceeding Considering the Promulgation of Telephone Rules Governing Inmate Phone Service,</w:t>
      </w:r>
      <w:r>
        <w:t xml:space="preserve"> </w:t>
      </w:r>
      <w:r w:rsidRPr="00384777">
        <w:rPr>
          <w:i/>
        </w:rPr>
        <w:t>Further Order Adopting Revised Inmate Phone Service Rules</w:t>
      </w:r>
      <w:r>
        <w:t xml:space="preserve">, Docket No. 15957 (Dec. 9, 2014) </w:t>
      </w:r>
      <w:r>
        <w:t>(“</w:t>
      </w:r>
      <w:r>
        <w:rPr>
          <w:i/>
        </w:rPr>
        <w:t>Alabama Rate Order</w:t>
      </w:r>
      <w:r>
        <w:t>”)</w:t>
      </w:r>
      <w:r w:rsidR="00A654F4">
        <w:t xml:space="preserve">. The </w:t>
      </w:r>
      <w:r w:rsidR="00A654F4">
        <w:rPr>
          <w:i/>
        </w:rPr>
        <w:t xml:space="preserve">Alabama Rate Order </w:t>
      </w:r>
      <w:r w:rsidR="00A654F4">
        <w:t xml:space="preserve">has been amended since the initial order, including but not limited to a recent amendment revising the authorized charges for single-payment calls from a limit of the $3.00 charge plus the rate cap times a 12-minute imputed call duration to a $3.00 charge plus the per-minute rates times the actual duration of the call.  All of the orders affecting ITS rates are available at </w:t>
      </w:r>
      <w:r w:rsidR="00A654F4" w:rsidRPr="00A654F4">
        <w:t>http://www.psc.alabama.gov/Telecom/Engineering/documents/inmate.htm</w:t>
      </w:r>
      <w:r>
        <w:t xml:space="preserve">.  </w:t>
      </w:r>
      <w:r w:rsidR="00A654F4">
        <w:t xml:space="preserve">For convenience purposes, </w:t>
      </w:r>
      <w:r>
        <w:t xml:space="preserve">Appendix G of the </w:t>
      </w:r>
      <w:r w:rsidR="00A654F4">
        <w:rPr>
          <w:i/>
        </w:rPr>
        <w:t>Alabama Rate Order</w:t>
      </w:r>
      <w:r w:rsidR="00A654F4">
        <w:t>, as amended for the orders dated January 16, 2015 and June 12, 2015 (largely implementation dates),</w:t>
      </w:r>
      <w:r>
        <w:t xml:space="preserve"> which sets forth the rules, is provided as </w:t>
      </w:r>
      <w:r w:rsidRPr="00A654F4">
        <w:rPr>
          <w:b/>
        </w:rPr>
        <w:t>Attachment A</w:t>
      </w:r>
      <w:r w:rsidR="00A654F4">
        <w:rPr>
          <w:b/>
        </w:rPr>
        <w:t>.</w:t>
      </w:r>
    </w:p>
  </w:footnote>
  <w:footnote w:id="22">
    <w:p w:rsidR="00384777" w:rsidRDefault="00384777">
      <w:pPr>
        <w:pStyle w:val="FootnoteText"/>
      </w:pPr>
      <w:r>
        <w:rPr>
          <w:rStyle w:val="FootnoteReference"/>
        </w:rPr>
        <w:footnoteRef/>
      </w:r>
      <w:r>
        <w:t xml:space="preserve"> The dismissals</w:t>
      </w:r>
      <w:r w:rsidR="00C94A0D">
        <w:t xml:space="preserve"> and</w:t>
      </w:r>
      <w:r>
        <w:t xml:space="preserve"> the </w:t>
      </w:r>
      <w:r w:rsidR="00C94A0D">
        <w:t xml:space="preserve">related </w:t>
      </w:r>
      <w:r>
        <w:t xml:space="preserve">Alabama Public Service Commission’s briefs, </w:t>
      </w:r>
      <w:r w:rsidR="00C94A0D">
        <w:t xml:space="preserve">which address the arguments as to the jurisdiction to regulate charges by third parties, </w:t>
      </w:r>
      <w:r>
        <w:t xml:space="preserve">are provided in </w:t>
      </w:r>
      <w:r w:rsidRPr="00A654F4">
        <w:rPr>
          <w:b/>
        </w:rPr>
        <w:t>Attachment B</w:t>
      </w:r>
      <w:r>
        <w:t xml:space="preserve"> for convenience.</w:t>
      </w:r>
    </w:p>
  </w:footnote>
  <w:footnote w:id="23">
    <w:p w:rsidR="00E1475A" w:rsidRPr="001E1B7B" w:rsidRDefault="00E1475A" w:rsidP="001E1B7B">
      <w:pPr>
        <w:pStyle w:val="FootnoteText"/>
        <w:keepNext/>
        <w:keepLines/>
        <w:jc w:val="both"/>
      </w:pPr>
      <w:r w:rsidRPr="001E1B7B">
        <w:rPr>
          <w:rStyle w:val="FootnoteReference"/>
        </w:rPr>
        <w:footnoteRef/>
      </w:r>
      <w:r w:rsidRPr="001E1B7B">
        <w:t xml:space="preserve"> As a matter of public policy, there is little basis for providing local calls at a lower rate than interstate calls since local calls are presumably made by local residents who could use the political process and their power to vote to persuade the local decisionmakers who approve the ITS contract to reduce rates.  Therefore, it is the intrastate callers who actually need the PSC’s protection against unfairly high rates, since the intrastate callers have no ability to use the political process to persuade contract decisionmakers.  Thus, as is consistent with sound ratemaking principles, it is assumed that the reason the local rates are lower is because they cost less to perform, possibly because the PSC has presumed there is greater volume and, therefore, more economies of scale associated with local calls.</w:t>
      </w:r>
    </w:p>
  </w:footnote>
  <w:footnote w:id="24">
    <w:p w:rsidR="00E1475A" w:rsidRPr="001E1B7B" w:rsidRDefault="00E1475A" w:rsidP="001E1B7B">
      <w:pPr>
        <w:pStyle w:val="FootnoteText"/>
        <w:jc w:val="both"/>
      </w:pPr>
      <w:r w:rsidRPr="001E1B7B">
        <w:rPr>
          <w:rStyle w:val="FootnoteReference"/>
        </w:rPr>
        <w:footnoteRef/>
      </w:r>
      <w:r w:rsidRPr="001E1B7B">
        <w:t xml:space="preserve"> Then-FCC Chairman Tom Wheeler referred to the problems associated with ITS rate reform, such as site commissions and ancillary fees, as “a never ending game of ICS rate whack-a-mole.” Statement of Chairman Tom Wheeler, Re: Rates for Interstate Inmate Calling Services, WC Docket No. 12-375, Order No. FCC 15-136, Second Report and Order and Third Further notice of Proposed Rulemaking (Nov. 5, 2015).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B83D73"/>
    <w:multiLevelType w:val="hybridMultilevel"/>
    <w:tmpl w:val="9A0641E0"/>
    <w:lvl w:ilvl="0" w:tplc="C284D9CE">
      <w:start w:val="1"/>
      <w:numFmt w:val="upperLetter"/>
      <w:pStyle w:val="Heading3"/>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6BB5018"/>
    <w:multiLevelType w:val="hybridMultilevel"/>
    <w:tmpl w:val="D118FDB2"/>
    <w:lvl w:ilvl="0" w:tplc="D1CAC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731D82"/>
    <w:multiLevelType w:val="hybridMultilevel"/>
    <w:tmpl w:val="EE165DF2"/>
    <w:lvl w:ilvl="0" w:tplc="E85CA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2284D27"/>
    <w:multiLevelType w:val="hybridMultilevel"/>
    <w:tmpl w:val="EE165DF2"/>
    <w:lvl w:ilvl="0" w:tplc="E85CA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9D61FFC"/>
    <w:multiLevelType w:val="hybridMultilevel"/>
    <w:tmpl w:val="78109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47483F"/>
    <w:multiLevelType w:val="hybridMultilevel"/>
    <w:tmpl w:val="A6766A60"/>
    <w:lvl w:ilvl="0" w:tplc="53D698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2B6FF7"/>
    <w:multiLevelType w:val="hybridMultilevel"/>
    <w:tmpl w:val="11426E1C"/>
    <w:lvl w:ilvl="0" w:tplc="A8845264">
      <w:start w:val="1"/>
      <w:numFmt w:val="upperRoman"/>
      <w:pStyle w:val="Heading2"/>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08580A"/>
    <w:multiLevelType w:val="hybridMultilevel"/>
    <w:tmpl w:val="ED1CF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5F68B7"/>
    <w:multiLevelType w:val="hybridMultilevel"/>
    <w:tmpl w:val="32F8E02E"/>
    <w:lvl w:ilvl="0" w:tplc="306C1212">
      <w:start w:val="1"/>
      <w:numFmt w:val="decimal"/>
      <w:pStyle w:val="Heading4"/>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7"/>
  </w:num>
  <w:num w:numId="3">
    <w:abstractNumId w:val="4"/>
  </w:num>
  <w:num w:numId="4">
    <w:abstractNumId w:val="8"/>
  </w:num>
  <w:num w:numId="5">
    <w:abstractNumId w:val="0"/>
  </w:num>
  <w:num w:numId="6">
    <w:abstractNumId w:val="2"/>
  </w:num>
  <w:num w:numId="7">
    <w:abstractNumId w:val="3"/>
  </w:num>
  <w:num w:numId="8">
    <w:abstractNumId w:val="1"/>
  </w:num>
  <w:num w:numId="9">
    <w:abstractNumId w:val="5"/>
  </w:num>
  <w:num w:numId="10">
    <w:abstractNumId w:val="6"/>
    <w:lvlOverride w:ilvl="0">
      <w:startOverride w:val="1"/>
    </w:lvlOverride>
  </w:num>
  <w:num w:numId="11">
    <w:abstractNumId w:val="6"/>
  </w:num>
  <w:num w:numId="12">
    <w:abstractNumId w:val="6"/>
    <w:lvlOverride w:ilvl="0">
      <w:startOverride w:val="1"/>
    </w:lvlOverride>
  </w:num>
  <w:num w:numId="13">
    <w:abstractNumId w:val="8"/>
  </w:num>
  <w:num w:numId="14">
    <w:abstractNumId w:val="8"/>
    <w:lvlOverride w:ilvl="0">
      <w:startOverride w:val="1"/>
    </w:lvlOverride>
  </w:num>
  <w:num w:numId="1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26D"/>
    <w:rsid w:val="00031D1C"/>
    <w:rsid w:val="000D5A46"/>
    <w:rsid w:val="001747F5"/>
    <w:rsid w:val="0018743F"/>
    <w:rsid w:val="001E1B7B"/>
    <w:rsid w:val="00290A8E"/>
    <w:rsid w:val="00323B7E"/>
    <w:rsid w:val="00384777"/>
    <w:rsid w:val="004507EF"/>
    <w:rsid w:val="004B4E43"/>
    <w:rsid w:val="00526C14"/>
    <w:rsid w:val="005932CF"/>
    <w:rsid w:val="005A6A86"/>
    <w:rsid w:val="006227FC"/>
    <w:rsid w:val="0069015C"/>
    <w:rsid w:val="0069176D"/>
    <w:rsid w:val="00702D5B"/>
    <w:rsid w:val="007F171A"/>
    <w:rsid w:val="00802423"/>
    <w:rsid w:val="00826EE9"/>
    <w:rsid w:val="008F5F9E"/>
    <w:rsid w:val="00981311"/>
    <w:rsid w:val="00A654F4"/>
    <w:rsid w:val="00B04E5D"/>
    <w:rsid w:val="00B93121"/>
    <w:rsid w:val="00C407FF"/>
    <w:rsid w:val="00C94A0D"/>
    <w:rsid w:val="00D61385"/>
    <w:rsid w:val="00DA1A24"/>
    <w:rsid w:val="00E1475A"/>
    <w:rsid w:val="00E2626D"/>
    <w:rsid w:val="00E43786"/>
    <w:rsid w:val="00E60171"/>
    <w:rsid w:val="00FC23FB"/>
    <w:rsid w:val="00FF7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E-mail Signatur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26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60171"/>
    <w:pPr>
      <w:spacing w:after="200" w:line="276" w:lineRule="auto"/>
      <w:jc w:val="center"/>
      <w:outlineLvl w:val="0"/>
    </w:pPr>
    <w:rPr>
      <w:b/>
      <w:bCs/>
      <w:smallCaps/>
      <w:u w:val="single"/>
    </w:rPr>
  </w:style>
  <w:style w:type="paragraph" w:styleId="Heading2">
    <w:name w:val="heading 2"/>
    <w:basedOn w:val="ListParagraph"/>
    <w:next w:val="Normal"/>
    <w:link w:val="Heading2Char"/>
    <w:uiPriority w:val="9"/>
    <w:unhideWhenUsed/>
    <w:qFormat/>
    <w:rsid w:val="007F171A"/>
    <w:pPr>
      <w:numPr>
        <w:numId w:val="1"/>
      </w:numPr>
      <w:spacing w:before="120" w:after="200"/>
      <w:ind w:left="360" w:hanging="360"/>
      <w:jc w:val="both"/>
      <w:outlineLvl w:val="1"/>
    </w:pPr>
    <w:rPr>
      <w:b/>
      <w:u w:val="single"/>
    </w:rPr>
  </w:style>
  <w:style w:type="paragraph" w:styleId="Heading3">
    <w:name w:val="heading 3"/>
    <w:basedOn w:val="ListParagraph"/>
    <w:next w:val="Normal"/>
    <w:link w:val="Heading3Char"/>
    <w:uiPriority w:val="9"/>
    <w:unhideWhenUsed/>
    <w:qFormat/>
    <w:rsid w:val="00E60171"/>
    <w:pPr>
      <w:numPr>
        <w:numId w:val="5"/>
      </w:numPr>
      <w:ind w:left="720"/>
      <w:jc w:val="both"/>
      <w:outlineLvl w:val="2"/>
    </w:pPr>
    <w:rPr>
      <w:b/>
    </w:rPr>
  </w:style>
  <w:style w:type="paragraph" w:styleId="Heading4">
    <w:name w:val="heading 4"/>
    <w:basedOn w:val="ListParagraph"/>
    <w:next w:val="Normal"/>
    <w:link w:val="Heading4Char"/>
    <w:uiPriority w:val="9"/>
    <w:unhideWhenUsed/>
    <w:qFormat/>
    <w:rsid w:val="00E60171"/>
    <w:pPr>
      <w:numPr>
        <w:numId w:val="13"/>
      </w:numPr>
      <w:jc w:val="both"/>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26D"/>
    <w:pPr>
      <w:tabs>
        <w:tab w:val="center" w:pos="4680"/>
        <w:tab w:val="right" w:pos="9360"/>
      </w:tabs>
    </w:pPr>
  </w:style>
  <w:style w:type="character" w:customStyle="1" w:styleId="HeaderChar">
    <w:name w:val="Header Char"/>
    <w:basedOn w:val="DefaultParagraphFont"/>
    <w:link w:val="Header"/>
    <w:uiPriority w:val="99"/>
    <w:rsid w:val="00E2626D"/>
  </w:style>
  <w:style w:type="paragraph" w:styleId="Footer">
    <w:name w:val="footer"/>
    <w:basedOn w:val="Normal"/>
    <w:link w:val="FooterChar"/>
    <w:uiPriority w:val="99"/>
    <w:unhideWhenUsed/>
    <w:rsid w:val="00E2626D"/>
    <w:pPr>
      <w:tabs>
        <w:tab w:val="center" w:pos="4680"/>
        <w:tab w:val="right" w:pos="9360"/>
      </w:tabs>
    </w:pPr>
  </w:style>
  <w:style w:type="character" w:customStyle="1" w:styleId="FooterChar">
    <w:name w:val="Footer Char"/>
    <w:basedOn w:val="DefaultParagraphFont"/>
    <w:link w:val="Footer"/>
    <w:uiPriority w:val="99"/>
    <w:rsid w:val="00E2626D"/>
  </w:style>
  <w:style w:type="paragraph" w:styleId="Title">
    <w:name w:val="Title"/>
    <w:basedOn w:val="Normal"/>
    <w:link w:val="TitleChar"/>
    <w:qFormat/>
    <w:rsid w:val="00E2626D"/>
    <w:pPr>
      <w:jc w:val="center"/>
    </w:pPr>
    <w:rPr>
      <w:b/>
      <w:bCs/>
      <w:u w:val="single"/>
    </w:rPr>
  </w:style>
  <w:style w:type="character" w:customStyle="1" w:styleId="TitleChar">
    <w:name w:val="Title Char"/>
    <w:basedOn w:val="DefaultParagraphFont"/>
    <w:link w:val="Title"/>
    <w:rsid w:val="00E2626D"/>
    <w:rPr>
      <w:rFonts w:ascii="Times New Roman" w:eastAsia="Times New Roman" w:hAnsi="Times New Roman" w:cs="Times New Roman"/>
      <w:b/>
      <w:bCs/>
      <w:sz w:val="24"/>
      <w:szCs w:val="24"/>
      <w:u w:val="single"/>
    </w:rPr>
  </w:style>
  <w:style w:type="paragraph" w:styleId="FootnoteText">
    <w:name w:val="footnote text"/>
    <w:basedOn w:val="Normal"/>
    <w:link w:val="FootnoteTextChar"/>
    <w:uiPriority w:val="99"/>
    <w:unhideWhenUsed/>
    <w:rsid w:val="00981311"/>
    <w:rPr>
      <w:sz w:val="20"/>
      <w:szCs w:val="20"/>
    </w:rPr>
  </w:style>
  <w:style w:type="character" w:customStyle="1" w:styleId="FootnoteTextChar">
    <w:name w:val="Footnote Text Char"/>
    <w:basedOn w:val="DefaultParagraphFont"/>
    <w:link w:val="FootnoteText"/>
    <w:uiPriority w:val="99"/>
    <w:rsid w:val="0098131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81311"/>
    <w:rPr>
      <w:vertAlign w:val="superscript"/>
    </w:rPr>
  </w:style>
  <w:style w:type="paragraph" w:styleId="ListParagraph">
    <w:name w:val="List Paragraph"/>
    <w:basedOn w:val="Normal"/>
    <w:uiPriority w:val="34"/>
    <w:qFormat/>
    <w:rsid w:val="00E1475A"/>
    <w:pPr>
      <w:ind w:left="720"/>
      <w:contextualSpacing/>
    </w:pPr>
  </w:style>
  <w:style w:type="paragraph" w:styleId="E-mailSignature">
    <w:name w:val="E-mail Signature"/>
    <w:basedOn w:val="Normal"/>
    <w:link w:val="E-mailSignatureChar"/>
    <w:rsid w:val="00E1475A"/>
  </w:style>
  <w:style w:type="character" w:customStyle="1" w:styleId="E-mailSignatureChar">
    <w:name w:val="E-mail Signature Char"/>
    <w:basedOn w:val="DefaultParagraphFont"/>
    <w:link w:val="E-mailSignature"/>
    <w:rsid w:val="00E1475A"/>
    <w:rPr>
      <w:rFonts w:ascii="Times New Roman" w:eastAsia="Times New Roman" w:hAnsi="Times New Roman" w:cs="Times New Roman"/>
      <w:sz w:val="24"/>
      <w:szCs w:val="24"/>
    </w:rPr>
  </w:style>
  <w:style w:type="paragraph" w:styleId="BodyTextIndent">
    <w:name w:val="Body Text Indent"/>
    <w:basedOn w:val="Normal"/>
    <w:link w:val="BodyTextIndentChar"/>
    <w:rsid w:val="00E1475A"/>
    <w:pPr>
      <w:ind w:firstLine="720"/>
    </w:pPr>
  </w:style>
  <w:style w:type="character" w:customStyle="1" w:styleId="BodyTextIndentChar">
    <w:name w:val="Body Text Indent Char"/>
    <w:basedOn w:val="DefaultParagraphFont"/>
    <w:link w:val="BodyTextIndent"/>
    <w:rsid w:val="00E1475A"/>
    <w:rPr>
      <w:rFonts w:ascii="Times New Roman" w:eastAsia="Times New Roman" w:hAnsi="Times New Roman" w:cs="Times New Roman"/>
      <w:sz w:val="24"/>
      <w:szCs w:val="24"/>
    </w:rPr>
  </w:style>
  <w:style w:type="paragraph" w:styleId="NoSpacing">
    <w:name w:val="No Spacing"/>
    <w:uiPriority w:val="1"/>
    <w:qFormat/>
    <w:rsid w:val="00E1475A"/>
    <w:pPr>
      <w:spacing w:after="0" w:line="240" w:lineRule="auto"/>
    </w:pPr>
    <w:rPr>
      <w:rFonts w:ascii="Calibri" w:eastAsia="Times New Roman" w:hAnsi="Calibri" w:cs="Calibri"/>
    </w:rPr>
  </w:style>
  <w:style w:type="character" w:customStyle="1" w:styleId="Heading1Char">
    <w:name w:val="Heading 1 Char"/>
    <w:basedOn w:val="DefaultParagraphFont"/>
    <w:link w:val="Heading1"/>
    <w:uiPriority w:val="9"/>
    <w:rsid w:val="00E60171"/>
    <w:rPr>
      <w:rFonts w:ascii="Times New Roman" w:eastAsia="Times New Roman" w:hAnsi="Times New Roman" w:cs="Times New Roman"/>
      <w:b/>
      <w:bCs/>
      <w:smallCaps/>
      <w:sz w:val="24"/>
      <w:szCs w:val="24"/>
      <w:u w:val="single"/>
    </w:rPr>
  </w:style>
  <w:style w:type="character" w:customStyle="1" w:styleId="Heading2Char">
    <w:name w:val="Heading 2 Char"/>
    <w:basedOn w:val="DefaultParagraphFont"/>
    <w:link w:val="Heading2"/>
    <w:uiPriority w:val="9"/>
    <w:rsid w:val="007F171A"/>
    <w:rPr>
      <w:rFonts w:ascii="Times New Roman" w:eastAsia="Times New Roman" w:hAnsi="Times New Roman" w:cs="Times New Roman"/>
      <w:b/>
      <w:sz w:val="24"/>
      <w:szCs w:val="24"/>
      <w:u w:val="single"/>
    </w:rPr>
  </w:style>
  <w:style w:type="character" w:customStyle="1" w:styleId="Heading3Char">
    <w:name w:val="Heading 3 Char"/>
    <w:basedOn w:val="DefaultParagraphFont"/>
    <w:link w:val="Heading3"/>
    <w:uiPriority w:val="9"/>
    <w:rsid w:val="00E60171"/>
    <w:rPr>
      <w:rFonts w:ascii="Times New Roman" w:eastAsia="Times New Roman" w:hAnsi="Times New Roman" w:cs="Times New Roman"/>
      <w:b/>
      <w:sz w:val="24"/>
      <w:szCs w:val="24"/>
    </w:rPr>
  </w:style>
  <w:style w:type="character" w:customStyle="1" w:styleId="Heading4Char">
    <w:name w:val="Heading 4 Char"/>
    <w:basedOn w:val="DefaultParagraphFont"/>
    <w:link w:val="Heading4"/>
    <w:uiPriority w:val="9"/>
    <w:rsid w:val="00E60171"/>
    <w:rPr>
      <w:rFonts w:ascii="Times New Roman" w:eastAsia="Times New Roman" w:hAnsi="Times New Roman" w:cs="Times New Roman"/>
      <w:b/>
      <w:sz w:val="24"/>
      <w:szCs w:val="24"/>
    </w:rPr>
  </w:style>
  <w:style w:type="paragraph" w:styleId="TOC1">
    <w:name w:val="toc 1"/>
    <w:basedOn w:val="Normal"/>
    <w:next w:val="Normal"/>
    <w:autoRedefine/>
    <w:uiPriority w:val="39"/>
    <w:unhideWhenUsed/>
    <w:rsid w:val="00702D5B"/>
    <w:pPr>
      <w:spacing w:after="100"/>
    </w:pPr>
  </w:style>
  <w:style w:type="paragraph" w:styleId="TOC2">
    <w:name w:val="toc 2"/>
    <w:basedOn w:val="Normal"/>
    <w:next w:val="Normal"/>
    <w:autoRedefine/>
    <w:uiPriority w:val="39"/>
    <w:unhideWhenUsed/>
    <w:rsid w:val="00702D5B"/>
    <w:pPr>
      <w:spacing w:after="100"/>
      <w:ind w:left="240"/>
    </w:pPr>
  </w:style>
  <w:style w:type="paragraph" w:styleId="TOC3">
    <w:name w:val="toc 3"/>
    <w:basedOn w:val="Normal"/>
    <w:next w:val="Normal"/>
    <w:autoRedefine/>
    <w:uiPriority w:val="39"/>
    <w:unhideWhenUsed/>
    <w:rsid w:val="00702D5B"/>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E-mail Signatur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26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60171"/>
    <w:pPr>
      <w:spacing w:after="200" w:line="276" w:lineRule="auto"/>
      <w:jc w:val="center"/>
      <w:outlineLvl w:val="0"/>
    </w:pPr>
    <w:rPr>
      <w:b/>
      <w:bCs/>
      <w:smallCaps/>
      <w:u w:val="single"/>
    </w:rPr>
  </w:style>
  <w:style w:type="paragraph" w:styleId="Heading2">
    <w:name w:val="heading 2"/>
    <w:basedOn w:val="ListParagraph"/>
    <w:next w:val="Normal"/>
    <w:link w:val="Heading2Char"/>
    <w:uiPriority w:val="9"/>
    <w:unhideWhenUsed/>
    <w:qFormat/>
    <w:rsid w:val="007F171A"/>
    <w:pPr>
      <w:numPr>
        <w:numId w:val="1"/>
      </w:numPr>
      <w:spacing w:before="120" w:after="200"/>
      <w:ind w:left="360" w:hanging="360"/>
      <w:jc w:val="both"/>
      <w:outlineLvl w:val="1"/>
    </w:pPr>
    <w:rPr>
      <w:b/>
      <w:u w:val="single"/>
    </w:rPr>
  </w:style>
  <w:style w:type="paragraph" w:styleId="Heading3">
    <w:name w:val="heading 3"/>
    <w:basedOn w:val="ListParagraph"/>
    <w:next w:val="Normal"/>
    <w:link w:val="Heading3Char"/>
    <w:uiPriority w:val="9"/>
    <w:unhideWhenUsed/>
    <w:qFormat/>
    <w:rsid w:val="00E60171"/>
    <w:pPr>
      <w:numPr>
        <w:numId w:val="5"/>
      </w:numPr>
      <w:ind w:left="720"/>
      <w:jc w:val="both"/>
      <w:outlineLvl w:val="2"/>
    </w:pPr>
    <w:rPr>
      <w:b/>
    </w:rPr>
  </w:style>
  <w:style w:type="paragraph" w:styleId="Heading4">
    <w:name w:val="heading 4"/>
    <w:basedOn w:val="ListParagraph"/>
    <w:next w:val="Normal"/>
    <w:link w:val="Heading4Char"/>
    <w:uiPriority w:val="9"/>
    <w:unhideWhenUsed/>
    <w:qFormat/>
    <w:rsid w:val="00E60171"/>
    <w:pPr>
      <w:numPr>
        <w:numId w:val="13"/>
      </w:numPr>
      <w:jc w:val="both"/>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26D"/>
    <w:pPr>
      <w:tabs>
        <w:tab w:val="center" w:pos="4680"/>
        <w:tab w:val="right" w:pos="9360"/>
      </w:tabs>
    </w:pPr>
  </w:style>
  <w:style w:type="character" w:customStyle="1" w:styleId="HeaderChar">
    <w:name w:val="Header Char"/>
    <w:basedOn w:val="DefaultParagraphFont"/>
    <w:link w:val="Header"/>
    <w:uiPriority w:val="99"/>
    <w:rsid w:val="00E2626D"/>
  </w:style>
  <w:style w:type="paragraph" w:styleId="Footer">
    <w:name w:val="footer"/>
    <w:basedOn w:val="Normal"/>
    <w:link w:val="FooterChar"/>
    <w:uiPriority w:val="99"/>
    <w:unhideWhenUsed/>
    <w:rsid w:val="00E2626D"/>
    <w:pPr>
      <w:tabs>
        <w:tab w:val="center" w:pos="4680"/>
        <w:tab w:val="right" w:pos="9360"/>
      </w:tabs>
    </w:pPr>
  </w:style>
  <w:style w:type="character" w:customStyle="1" w:styleId="FooterChar">
    <w:name w:val="Footer Char"/>
    <w:basedOn w:val="DefaultParagraphFont"/>
    <w:link w:val="Footer"/>
    <w:uiPriority w:val="99"/>
    <w:rsid w:val="00E2626D"/>
  </w:style>
  <w:style w:type="paragraph" w:styleId="Title">
    <w:name w:val="Title"/>
    <w:basedOn w:val="Normal"/>
    <w:link w:val="TitleChar"/>
    <w:qFormat/>
    <w:rsid w:val="00E2626D"/>
    <w:pPr>
      <w:jc w:val="center"/>
    </w:pPr>
    <w:rPr>
      <w:b/>
      <w:bCs/>
      <w:u w:val="single"/>
    </w:rPr>
  </w:style>
  <w:style w:type="character" w:customStyle="1" w:styleId="TitleChar">
    <w:name w:val="Title Char"/>
    <w:basedOn w:val="DefaultParagraphFont"/>
    <w:link w:val="Title"/>
    <w:rsid w:val="00E2626D"/>
    <w:rPr>
      <w:rFonts w:ascii="Times New Roman" w:eastAsia="Times New Roman" w:hAnsi="Times New Roman" w:cs="Times New Roman"/>
      <w:b/>
      <w:bCs/>
      <w:sz w:val="24"/>
      <w:szCs w:val="24"/>
      <w:u w:val="single"/>
    </w:rPr>
  </w:style>
  <w:style w:type="paragraph" w:styleId="FootnoteText">
    <w:name w:val="footnote text"/>
    <w:basedOn w:val="Normal"/>
    <w:link w:val="FootnoteTextChar"/>
    <w:uiPriority w:val="99"/>
    <w:unhideWhenUsed/>
    <w:rsid w:val="00981311"/>
    <w:rPr>
      <w:sz w:val="20"/>
      <w:szCs w:val="20"/>
    </w:rPr>
  </w:style>
  <w:style w:type="character" w:customStyle="1" w:styleId="FootnoteTextChar">
    <w:name w:val="Footnote Text Char"/>
    <w:basedOn w:val="DefaultParagraphFont"/>
    <w:link w:val="FootnoteText"/>
    <w:uiPriority w:val="99"/>
    <w:rsid w:val="0098131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81311"/>
    <w:rPr>
      <w:vertAlign w:val="superscript"/>
    </w:rPr>
  </w:style>
  <w:style w:type="paragraph" w:styleId="ListParagraph">
    <w:name w:val="List Paragraph"/>
    <w:basedOn w:val="Normal"/>
    <w:uiPriority w:val="34"/>
    <w:qFormat/>
    <w:rsid w:val="00E1475A"/>
    <w:pPr>
      <w:ind w:left="720"/>
      <w:contextualSpacing/>
    </w:pPr>
  </w:style>
  <w:style w:type="paragraph" w:styleId="E-mailSignature">
    <w:name w:val="E-mail Signature"/>
    <w:basedOn w:val="Normal"/>
    <w:link w:val="E-mailSignatureChar"/>
    <w:rsid w:val="00E1475A"/>
  </w:style>
  <w:style w:type="character" w:customStyle="1" w:styleId="E-mailSignatureChar">
    <w:name w:val="E-mail Signature Char"/>
    <w:basedOn w:val="DefaultParagraphFont"/>
    <w:link w:val="E-mailSignature"/>
    <w:rsid w:val="00E1475A"/>
    <w:rPr>
      <w:rFonts w:ascii="Times New Roman" w:eastAsia="Times New Roman" w:hAnsi="Times New Roman" w:cs="Times New Roman"/>
      <w:sz w:val="24"/>
      <w:szCs w:val="24"/>
    </w:rPr>
  </w:style>
  <w:style w:type="paragraph" w:styleId="BodyTextIndent">
    <w:name w:val="Body Text Indent"/>
    <w:basedOn w:val="Normal"/>
    <w:link w:val="BodyTextIndentChar"/>
    <w:rsid w:val="00E1475A"/>
    <w:pPr>
      <w:ind w:firstLine="720"/>
    </w:pPr>
  </w:style>
  <w:style w:type="character" w:customStyle="1" w:styleId="BodyTextIndentChar">
    <w:name w:val="Body Text Indent Char"/>
    <w:basedOn w:val="DefaultParagraphFont"/>
    <w:link w:val="BodyTextIndent"/>
    <w:rsid w:val="00E1475A"/>
    <w:rPr>
      <w:rFonts w:ascii="Times New Roman" w:eastAsia="Times New Roman" w:hAnsi="Times New Roman" w:cs="Times New Roman"/>
      <w:sz w:val="24"/>
      <w:szCs w:val="24"/>
    </w:rPr>
  </w:style>
  <w:style w:type="paragraph" w:styleId="NoSpacing">
    <w:name w:val="No Spacing"/>
    <w:uiPriority w:val="1"/>
    <w:qFormat/>
    <w:rsid w:val="00E1475A"/>
    <w:pPr>
      <w:spacing w:after="0" w:line="240" w:lineRule="auto"/>
    </w:pPr>
    <w:rPr>
      <w:rFonts w:ascii="Calibri" w:eastAsia="Times New Roman" w:hAnsi="Calibri" w:cs="Calibri"/>
    </w:rPr>
  </w:style>
  <w:style w:type="character" w:customStyle="1" w:styleId="Heading1Char">
    <w:name w:val="Heading 1 Char"/>
    <w:basedOn w:val="DefaultParagraphFont"/>
    <w:link w:val="Heading1"/>
    <w:uiPriority w:val="9"/>
    <w:rsid w:val="00E60171"/>
    <w:rPr>
      <w:rFonts w:ascii="Times New Roman" w:eastAsia="Times New Roman" w:hAnsi="Times New Roman" w:cs="Times New Roman"/>
      <w:b/>
      <w:bCs/>
      <w:smallCaps/>
      <w:sz w:val="24"/>
      <w:szCs w:val="24"/>
      <w:u w:val="single"/>
    </w:rPr>
  </w:style>
  <w:style w:type="character" w:customStyle="1" w:styleId="Heading2Char">
    <w:name w:val="Heading 2 Char"/>
    <w:basedOn w:val="DefaultParagraphFont"/>
    <w:link w:val="Heading2"/>
    <w:uiPriority w:val="9"/>
    <w:rsid w:val="007F171A"/>
    <w:rPr>
      <w:rFonts w:ascii="Times New Roman" w:eastAsia="Times New Roman" w:hAnsi="Times New Roman" w:cs="Times New Roman"/>
      <w:b/>
      <w:sz w:val="24"/>
      <w:szCs w:val="24"/>
      <w:u w:val="single"/>
    </w:rPr>
  </w:style>
  <w:style w:type="character" w:customStyle="1" w:styleId="Heading3Char">
    <w:name w:val="Heading 3 Char"/>
    <w:basedOn w:val="DefaultParagraphFont"/>
    <w:link w:val="Heading3"/>
    <w:uiPriority w:val="9"/>
    <w:rsid w:val="00E60171"/>
    <w:rPr>
      <w:rFonts w:ascii="Times New Roman" w:eastAsia="Times New Roman" w:hAnsi="Times New Roman" w:cs="Times New Roman"/>
      <w:b/>
      <w:sz w:val="24"/>
      <w:szCs w:val="24"/>
    </w:rPr>
  </w:style>
  <w:style w:type="character" w:customStyle="1" w:styleId="Heading4Char">
    <w:name w:val="Heading 4 Char"/>
    <w:basedOn w:val="DefaultParagraphFont"/>
    <w:link w:val="Heading4"/>
    <w:uiPriority w:val="9"/>
    <w:rsid w:val="00E60171"/>
    <w:rPr>
      <w:rFonts w:ascii="Times New Roman" w:eastAsia="Times New Roman" w:hAnsi="Times New Roman" w:cs="Times New Roman"/>
      <w:b/>
      <w:sz w:val="24"/>
      <w:szCs w:val="24"/>
    </w:rPr>
  </w:style>
  <w:style w:type="paragraph" w:styleId="TOC1">
    <w:name w:val="toc 1"/>
    <w:basedOn w:val="Normal"/>
    <w:next w:val="Normal"/>
    <w:autoRedefine/>
    <w:uiPriority w:val="39"/>
    <w:unhideWhenUsed/>
    <w:rsid w:val="00702D5B"/>
    <w:pPr>
      <w:spacing w:after="100"/>
    </w:pPr>
  </w:style>
  <w:style w:type="paragraph" w:styleId="TOC2">
    <w:name w:val="toc 2"/>
    <w:basedOn w:val="Normal"/>
    <w:next w:val="Normal"/>
    <w:autoRedefine/>
    <w:uiPriority w:val="39"/>
    <w:unhideWhenUsed/>
    <w:rsid w:val="00702D5B"/>
    <w:pPr>
      <w:spacing w:after="100"/>
      <w:ind w:left="240"/>
    </w:pPr>
  </w:style>
  <w:style w:type="paragraph" w:styleId="TOC3">
    <w:name w:val="toc 3"/>
    <w:basedOn w:val="Normal"/>
    <w:next w:val="Normal"/>
    <w:autoRedefine/>
    <w:uiPriority w:val="39"/>
    <w:unhideWhenUsed/>
    <w:rsid w:val="00702D5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eonb@psc.state.ga.u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walsh@law.ga.g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036E5-D366-446B-A318-656A3DBE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7660</Words>
  <Characters>43666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ICSolutions.com</Company>
  <LinksUpToDate>false</LinksUpToDate>
  <CharactersWithSpaces>51224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Charlena</dc:creator>
  <cp:lastModifiedBy>Charlena</cp:lastModifiedBy>
  <cp:revision>2</cp:revision>
  <dcterms:created xsi:type="dcterms:W3CDTF">2018-01-18T21:07:00Z</dcterms:created>
  <dcterms:modified xsi:type="dcterms:W3CDTF">2018-01-18T21:07:00Z</dcterms:modified>
</cp:coreProperties>
</file>